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7E29C" w14:textId="77777777" w:rsidR="00D415AD" w:rsidRDefault="00EA3468" w:rsidP="00EA3468">
      <w:pPr>
        <w:spacing w:line="480" w:lineRule="auto"/>
        <w:jc w:val="center"/>
        <w:rPr>
          <w:rFonts w:ascii="Times New Roman" w:hAnsi="Times New Roman" w:cs="Times New Roman"/>
          <w:sz w:val="24"/>
          <w:szCs w:val="24"/>
        </w:rPr>
      </w:pPr>
      <w:r w:rsidRPr="00C55BAB">
        <w:rPr>
          <w:rFonts w:ascii="Times New Roman" w:hAnsi="Times New Roman" w:cs="Times New Roman"/>
          <w:b/>
          <w:bCs/>
          <w:sz w:val="24"/>
          <w:szCs w:val="24"/>
        </w:rPr>
        <w:t>Efficacy of Cardioprotective Drugs in Cancer Patients Receiving Anthracyclines: A Pairwise Meta-Analysis and Network Meta-Analysi</w:t>
      </w:r>
      <w:r>
        <w:rPr>
          <w:rFonts w:ascii="Times New Roman" w:hAnsi="Times New Roman" w:cs="Times New Roman"/>
          <w:b/>
          <w:bCs/>
          <w:sz w:val="24"/>
          <w:szCs w:val="24"/>
        </w:rPr>
        <w:t>s</w:t>
      </w:r>
      <w:r w:rsidR="00D415AD">
        <w:rPr>
          <w:rFonts w:ascii="Times New Roman" w:hAnsi="Times New Roman" w:cs="Times New Roman"/>
          <w:b/>
          <w:bCs/>
          <w:sz w:val="24"/>
          <w:szCs w:val="24"/>
        </w:rPr>
        <w:br/>
      </w:r>
    </w:p>
    <w:p w14:paraId="421697F0" w14:textId="419EDCE3" w:rsidR="00EA3468" w:rsidRPr="00C526C2" w:rsidRDefault="00D415AD" w:rsidP="00EA3468">
      <w:pPr>
        <w:spacing w:line="480" w:lineRule="auto"/>
        <w:jc w:val="center"/>
        <w:rPr>
          <w:rFonts w:ascii="Times New Roman" w:hAnsi="Times New Roman" w:cs="Times New Roman"/>
          <w:sz w:val="24"/>
          <w:szCs w:val="24"/>
          <w:vertAlign w:val="superscript"/>
        </w:rPr>
      </w:pPr>
      <w:r w:rsidRPr="00D415AD">
        <w:rPr>
          <w:rFonts w:ascii="Times New Roman" w:hAnsi="Times New Roman" w:cs="Times New Roman"/>
          <w:sz w:val="24"/>
          <w:szCs w:val="24"/>
        </w:rPr>
        <w:t>Maisha Maliha</w:t>
      </w:r>
      <w:r w:rsidR="00DA6E23">
        <w:rPr>
          <w:rFonts w:ascii="Times New Roman" w:hAnsi="Times New Roman" w:cs="Times New Roman"/>
          <w:sz w:val="24"/>
          <w:szCs w:val="24"/>
        </w:rPr>
        <w:t>, MBBS</w:t>
      </w:r>
      <w:r w:rsidR="00C526C2">
        <w:rPr>
          <w:rFonts w:ascii="Times New Roman" w:hAnsi="Times New Roman" w:cs="Times New Roman"/>
          <w:sz w:val="24"/>
          <w:szCs w:val="24"/>
          <w:vertAlign w:val="superscript"/>
        </w:rPr>
        <w:t>1,2</w:t>
      </w:r>
      <w:r w:rsidRPr="00D415AD">
        <w:rPr>
          <w:rFonts w:ascii="Times New Roman" w:hAnsi="Times New Roman" w:cs="Times New Roman"/>
          <w:sz w:val="24"/>
          <w:szCs w:val="24"/>
        </w:rPr>
        <w:t>, Amrin Kharawala</w:t>
      </w:r>
      <w:r w:rsidR="00DA6E23">
        <w:rPr>
          <w:rFonts w:ascii="Times New Roman" w:hAnsi="Times New Roman" w:cs="Times New Roman"/>
          <w:sz w:val="24"/>
          <w:szCs w:val="24"/>
        </w:rPr>
        <w:t>, MBBS</w:t>
      </w:r>
      <w:r w:rsidR="00C526C2">
        <w:rPr>
          <w:rFonts w:ascii="Times New Roman" w:hAnsi="Times New Roman" w:cs="Times New Roman"/>
          <w:sz w:val="24"/>
          <w:szCs w:val="24"/>
          <w:vertAlign w:val="superscript"/>
        </w:rPr>
        <w:t>3</w:t>
      </w:r>
      <w:r w:rsidRPr="00D415AD">
        <w:rPr>
          <w:rFonts w:ascii="Times New Roman" w:hAnsi="Times New Roman" w:cs="Times New Roman"/>
          <w:sz w:val="24"/>
          <w:szCs w:val="24"/>
        </w:rPr>
        <w:t>, Vikyath Satish</w:t>
      </w:r>
      <w:r w:rsidR="00DA6E23">
        <w:rPr>
          <w:rFonts w:ascii="Times New Roman" w:hAnsi="Times New Roman" w:cs="Times New Roman"/>
          <w:sz w:val="24"/>
          <w:szCs w:val="24"/>
        </w:rPr>
        <w:t>, MBBS</w:t>
      </w:r>
      <w:r w:rsidR="00C526C2">
        <w:rPr>
          <w:rFonts w:ascii="Times New Roman" w:hAnsi="Times New Roman" w:cs="Times New Roman"/>
          <w:sz w:val="24"/>
          <w:szCs w:val="24"/>
          <w:vertAlign w:val="superscript"/>
        </w:rPr>
        <w:t>1,2</w:t>
      </w:r>
      <w:r w:rsidRPr="00D415AD">
        <w:rPr>
          <w:rFonts w:ascii="Times New Roman" w:hAnsi="Times New Roman" w:cs="Times New Roman"/>
          <w:sz w:val="24"/>
          <w:szCs w:val="24"/>
        </w:rPr>
        <w:t>, Sriram Sunil Kumar</w:t>
      </w:r>
      <w:r w:rsidR="00DA6E23">
        <w:rPr>
          <w:rFonts w:ascii="Times New Roman" w:hAnsi="Times New Roman" w:cs="Times New Roman"/>
          <w:sz w:val="24"/>
          <w:szCs w:val="24"/>
        </w:rPr>
        <w:t>, MBBS</w:t>
      </w:r>
      <w:r w:rsidR="00C526C2">
        <w:rPr>
          <w:rFonts w:ascii="Times New Roman" w:hAnsi="Times New Roman" w:cs="Times New Roman"/>
          <w:sz w:val="24"/>
          <w:szCs w:val="24"/>
          <w:vertAlign w:val="superscript"/>
        </w:rPr>
        <w:t>1,2</w:t>
      </w:r>
      <w:r w:rsidRPr="00D415AD">
        <w:rPr>
          <w:rFonts w:ascii="Times New Roman" w:hAnsi="Times New Roman" w:cs="Times New Roman"/>
          <w:sz w:val="24"/>
          <w:szCs w:val="24"/>
        </w:rPr>
        <w:t>, Nidhish Tiwari</w:t>
      </w:r>
      <w:r w:rsidR="00DA6E23">
        <w:rPr>
          <w:rFonts w:ascii="Times New Roman" w:hAnsi="Times New Roman" w:cs="Times New Roman"/>
          <w:sz w:val="24"/>
          <w:szCs w:val="24"/>
        </w:rPr>
        <w:t>, MBBS</w:t>
      </w:r>
      <w:r w:rsidR="00C526C2">
        <w:rPr>
          <w:rFonts w:ascii="Times New Roman" w:hAnsi="Times New Roman" w:cs="Times New Roman"/>
          <w:sz w:val="24"/>
          <w:szCs w:val="24"/>
          <w:vertAlign w:val="superscript"/>
        </w:rPr>
        <w:t>3</w:t>
      </w:r>
      <w:r w:rsidRPr="00D415AD">
        <w:rPr>
          <w:rFonts w:ascii="Times New Roman" w:hAnsi="Times New Roman" w:cs="Times New Roman"/>
          <w:sz w:val="24"/>
          <w:szCs w:val="24"/>
        </w:rPr>
        <w:t>, Lili Zhang</w:t>
      </w:r>
      <w:r w:rsidR="00DA6E23">
        <w:rPr>
          <w:rFonts w:ascii="Times New Roman" w:hAnsi="Times New Roman" w:cs="Times New Roman"/>
          <w:sz w:val="24"/>
          <w:szCs w:val="24"/>
        </w:rPr>
        <w:t>, MD</w:t>
      </w:r>
      <w:r w:rsidR="00C526C2">
        <w:rPr>
          <w:rFonts w:ascii="Times New Roman" w:hAnsi="Times New Roman" w:cs="Times New Roman"/>
          <w:sz w:val="24"/>
          <w:szCs w:val="24"/>
          <w:vertAlign w:val="superscript"/>
        </w:rPr>
        <w:t>2,4</w:t>
      </w:r>
    </w:p>
    <w:p w14:paraId="77CFA9ED" w14:textId="1E0375FB" w:rsidR="00EA3468" w:rsidRDefault="00C526C2" w:rsidP="00C526C2">
      <w:pPr>
        <w:pStyle w:val="ListParagraph"/>
        <w:numPr>
          <w:ilvl w:val="0"/>
          <w:numId w:val="2"/>
        </w:numPr>
        <w:spacing w:line="480" w:lineRule="auto"/>
        <w:rPr>
          <w:rFonts w:ascii="Times New Roman" w:hAnsi="Times New Roman" w:cs="Times New Roman"/>
        </w:rPr>
      </w:pPr>
      <w:r>
        <w:rPr>
          <w:rFonts w:ascii="Times New Roman" w:hAnsi="Times New Roman" w:cs="Times New Roman"/>
        </w:rPr>
        <w:t>New York City Health and Hospitals Corp/Jacobi Medical Center, Bronx, New York</w:t>
      </w:r>
    </w:p>
    <w:p w14:paraId="219BD4F0" w14:textId="67E6B81C" w:rsidR="00C526C2" w:rsidRDefault="00C526C2" w:rsidP="00C526C2">
      <w:pPr>
        <w:pStyle w:val="ListParagraph"/>
        <w:numPr>
          <w:ilvl w:val="0"/>
          <w:numId w:val="2"/>
        </w:numPr>
        <w:spacing w:line="480" w:lineRule="auto"/>
        <w:rPr>
          <w:rFonts w:ascii="Times New Roman" w:hAnsi="Times New Roman" w:cs="Times New Roman"/>
        </w:rPr>
      </w:pPr>
      <w:r>
        <w:rPr>
          <w:rFonts w:ascii="Times New Roman" w:hAnsi="Times New Roman" w:cs="Times New Roman"/>
        </w:rPr>
        <w:t>Albert Einstein College of Medicine, Bronx, New York</w:t>
      </w:r>
    </w:p>
    <w:p w14:paraId="234CD92D" w14:textId="66746D07" w:rsidR="00C526C2" w:rsidRDefault="00C526C2" w:rsidP="00C526C2">
      <w:pPr>
        <w:pStyle w:val="ListParagraph"/>
        <w:numPr>
          <w:ilvl w:val="0"/>
          <w:numId w:val="2"/>
        </w:numPr>
        <w:spacing w:line="480" w:lineRule="auto"/>
        <w:rPr>
          <w:rFonts w:ascii="Times New Roman" w:hAnsi="Times New Roman" w:cs="Times New Roman"/>
        </w:rPr>
      </w:pPr>
      <w:r>
        <w:rPr>
          <w:rFonts w:ascii="Times New Roman" w:hAnsi="Times New Roman" w:cs="Times New Roman"/>
        </w:rPr>
        <w:t>University of Nebraska Medical Center, Omaha, Nebraska</w:t>
      </w:r>
    </w:p>
    <w:p w14:paraId="739F3123" w14:textId="7FBB9AA4" w:rsidR="00C526C2" w:rsidRPr="00C526C2" w:rsidRDefault="00C526C2" w:rsidP="00C526C2">
      <w:pPr>
        <w:pStyle w:val="ListParagraph"/>
        <w:numPr>
          <w:ilvl w:val="0"/>
          <w:numId w:val="2"/>
        </w:numPr>
        <w:spacing w:line="480" w:lineRule="auto"/>
        <w:rPr>
          <w:rFonts w:ascii="Times New Roman" w:hAnsi="Times New Roman" w:cs="Times New Roman"/>
        </w:rPr>
      </w:pPr>
      <w:r>
        <w:rPr>
          <w:rFonts w:ascii="Times New Roman" w:hAnsi="Times New Roman" w:cs="Times New Roman"/>
        </w:rPr>
        <w:t>Montefiore Medical Center, Bronx, New York</w:t>
      </w:r>
    </w:p>
    <w:p w14:paraId="5D8A7062" w14:textId="77777777" w:rsidR="00C526C2" w:rsidRDefault="00C526C2" w:rsidP="00EA3468">
      <w:pPr>
        <w:spacing w:line="480" w:lineRule="auto"/>
        <w:rPr>
          <w:rFonts w:ascii="Times New Roman" w:hAnsi="Times New Roman" w:cs="Times New Roman"/>
          <w:b/>
          <w:bCs/>
          <w:sz w:val="24"/>
          <w:szCs w:val="24"/>
        </w:rPr>
      </w:pPr>
    </w:p>
    <w:p w14:paraId="74B6DDD5" w14:textId="05D1D2A3" w:rsidR="00EA3468" w:rsidRPr="003E4243" w:rsidRDefault="00EA3468" w:rsidP="00EA3468">
      <w:pPr>
        <w:spacing w:line="480" w:lineRule="auto"/>
        <w:rPr>
          <w:rFonts w:ascii="Times New Roman" w:hAnsi="Times New Roman" w:cs="Times New Roman"/>
          <w:b/>
          <w:bCs/>
          <w:sz w:val="24"/>
          <w:szCs w:val="24"/>
        </w:rPr>
      </w:pPr>
      <w:r w:rsidRPr="003E4243">
        <w:rPr>
          <w:rFonts w:ascii="Times New Roman" w:hAnsi="Times New Roman" w:cs="Times New Roman"/>
          <w:b/>
          <w:bCs/>
          <w:sz w:val="24"/>
          <w:szCs w:val="24"/>
        </w:rPr>
        <w:t>Background:</w:t>
      </w:r>
    </w:p>
    <w:p w14:paraId="2669346F" w14:textId="77777777" w:rsidR="00EA3468" w:rsidRPr="00C55BAB" w:rsidRDefault="00EA3468" w:rsidP="00EA3468">
      <w:pPr>
        <w:spacing w:line="480" w:lineRule="auto"/>
        <w:rPr>
          <w:rFonts w:ascii="Times New Roman" w:hAnsi="Times New Roman" w:cs="Times New Roman"/>
          <w:sz w:val="24"/>
          <w:szCs w:val="24"/>
        </w:rPr>
      </w:pPr>
      <w:r w:rsidRPr="003E4243">
        <w:rPr>
          <w:rFonts w:ascii="Times New Roman" w:hAnsi="Times New Roman" w:cs="Times New Roman"/>
          <w:sz w:val="24"/>
          <w:szCs w:val="24"/>
        </w:rPr>
        <w:t>Anthracyclines are a key component of chemotherapy for various cancers, but they increase the risk of cardiotoxicity. This study evaluated the cardioprotective effects of drugs in patients undergoing anthracycline-based chemotherapy through a network meta-analysis</w:t>
      </w:r>
      <w:r>
        <w:rPr>
          <w:rFonts w:ascii="Times New Roman" w:hAnsi="Times New Roman" w:cs="Times New Roman"/>
          <w:sz w:val="24"/>
          <w:szCs w:val="24"/>
        </w:rPr>
        <w:t>.</w:t>
      </w:r>
      <w:r w:rsidRPr="00C55BAB">
        <w:rPr>
          <w:rFonts w:ascii="Times New Roman" w:hAnsi="Times New Roman" w:cs="Times New Roman"/>
          <w:sz w:val="24"/>
          <w:szCs w:val="24"/>
        </w:rPr>
        <w:t xml:space="preserve"> </w:t>
      </w:r>
    </w:p>
    <w:p w14:paraId="2D0D4A23" w14:textId="77777777" w:rsidR="00EA3468" w:rsidRDefault="00EA3468" w:rsidP="00EA3468">
      <w:pPr>
        <w:spacing w:line="480" w:lineRule="auto"/>
        <w:rPr>
          <w:rFonts w:ascii="Times New Roman" w:hAnsi="Times New Roman" w:cs="Times New Roman"/>
          <w:sz w:val="24"/>
          <w:szCs w:val="24"/>
        </w:rPr>
      </w:pPr>
      <w:r w:rsidRPr="003E4243">
        <w:rPr>
          <w:rFonts w:ascii="Times New Roman" w:hAnsi="Times New Roman" w:cs="Times New Roman"/>
          <w:b/>
          <w:bCs/>
          <w:sz w:val="24"/>
          <w:szCs w:val="24"/>
        </w:rPr>
        <w:t>Methods</w:t>
      </w:r>
      <w:r>
        <w:rPr>
          <w:rFonts w:ascii="Times New Roman" w:hAnsi="Times New Roman" w:cs="Times New Roman"/>
          <w:sz w:val="24"/>
          <w:szCs w:val="24"/>
        </w:rPr>
        <w:t>:</w:t>
      </w:r>
    </w:p>
    <w:p w14:paraId="71E1E2F3" w14:textId="72DB027E" w:rsidR="00EA3468" w:rsidRDefault="00EA3468" w:rsidP="00EA3468">
      <w:pPr>
        <w:spacing w:line="480" w:lineRule="auto"/>
        <w:rPr>
          <w:rFonts w:ascii="Times New Roman" w:hAnsi="Times New Roman" w:cs="Times New Roman"/>
          <w:sz w:val="24"/>
          <w:szCs w:val="24"/>
        </w:rPr>
      </w:pPr>
      <w:r w:rsidRPr="003E4243">
        <w:rPr>
          <w:rFonts w:ascii="Times New Roman" w:hAnsi="Times New Roman" w:cs="Times New Roman"/>
          <w:sz w:val="24"/>
          <w:szCs w:val="24"/>
        </w:rPr>
        <w:t>Four electronic databases (PubMed, Cochrane, Scopus, Web of Science) were searched up to August 19, 2024, for randomized clinical trials and cohort studies. The primary outcome was the change in left ventricular ejection fraction (LVEF), while secondary outcomes included changes in diastolic dysfunction</w:t>
      </w:r>
      <w:r>
        <w:rPr>
          <w:rFonts w:ascii="Times New Roman" w:hAnsi="Times New Roman" w:cs="Times New Roman"/>
          <w:sz w:val="24"/>
          <w:szCs w:val="24"/>
        </w:rPr>
        <w:t xml:space="preserve"> composing of (i) E/A ratio, (ii) left ventricular end diastolic volume(LVEDV) and (iii) left ventricular end diastolic diameter(LVEDD);</w:t>
      </w:r>
      <w:r w:rsidRPr="003E4243">
        <w:rPr>
          <w:rFonts w:ascii="Times New Roman" w:hAnsi="Times New Roman" w:cs="Times New Roman"/>
          <w:sz w:val="24"/>
          <w:szCs w:val="24"/>
        </w:rPr>
        <w:t xml:space="preserve"> incidence of </w:t>
      </w:r>
      <w:r>
        <w:rPr>
          <w:rFonts w:ascii="Times New Roman" w:hAnsi="Times New Roman" w:cs="Times New Roman"/>
          <w:sz w:val="24"/>
          <w:szCs w:val="24"/>
        </w:rPr>
        <w:t xml:space="preserve">cancer therapy related </w:t>
      </w:r>
      <w:r w:rsidRPr="003E4243">
        <w:rPr>
          <w:rFonts w:ascii="Times New Roman" w:hAnsi="Times New Roman" w:cs="Times New Roman"/>
          <w:sz w:val="24"/>
          <w:szCs w:val="24"/>
        </w:rPr>
        <w:t>cardiac dysfunction (CTRCD)</w:t>
      </w:r>
      <w:r>
        <w:rPr>
          <w:rFonts w:ascii="Times New Roman" w:hAnsi="Times New Roman" w:cs="Times New Roman"/>
          <w:sz w:val="24"/>
          <w:szCs w:val="24"/>
        </w:rPr>
        <w:t>;</w:t>
      </w:r>
      <w:r w:rsidRPr="003E4243">
        <w:rPr>
          <w:rFonts w:ascii="Times New Roman" w:hAnsi="Times New Roman" w:cs="Times New Roman"/>
          <w:sz w:val="24"/>
          <w:szCs w:val="24"/>
        </w:rPr>
        <w:t xml:space="preserve"> heart failure (HF)</w:t>
      </w:r>
      <w:r>
        <w:rPr>
          <w:rFonts w:ascii="Times New Roman" w:hAnsi="Times New Roman" w:cs="Times New Roman"/>
          <w:sz w:val="24"/>
          <w:szCs w:val="24"/>
        </w:rPr>
        <w:t xml:space="preserve"> incidence and</w:t>
      </w:r>
      <w:r w:rsidRPr="003E4243">
        <w:rPr>
          <w:rFonts w:ascii="Times New Roman" w:hAnsi="Times New Roman" w:cs="Times New Roman"/>
          <w:sz w:val="24"/>
          <w:szCs w:val="24"/>
        </w:rPr>
        <w:t xml:space="preserve"> hospitalization, and all-cause mortality.</w:t>
      </w:r>
    </w:p>
    <w:p w14:paraId="01CC7400" w14:textId="77777777" w:rsidR="00EA3468" w:rsidRDefault="00EA3468" w:rsidP="00EA3468">
      <w:pPr>
        <w:spacing w:line="480" w:lineRule="auto"/>
        <w:rPr>
          <w:rFonts w:ascii="Times New Roman" w:hAnsi="Times New Roman" w:cs="Times New Roman"/>
          <w:sz w:val="24"/>
          <w:szCs w:val="24"/>
        </w:rPr>
      </w:pPr>
      <w:r w:rsidRPr="003E4243">
        <w:rPr>
          <w:rFonts w:ascii="Times New Roman" w:hAnsi="Times New Roman" w:cs="Times New Roman"/>
          <w:b/>
          <w:bCs/>
          <w:sz w:val="24"/>
          <w:szCs w:val="24"/>
        </w:rPr>
        <w:t>Results</w:t>
      </w:r>
      <w:r>
        <w:rPr>
          <w:rFonts w:ascii="Times New Roman" w:hAnsi="Times New Roman" w:cs="Times New Roman"/>
          <w:sz w:val="24"/>
          <w:szCs w:val="24"/>
        </w:rPr>
        <w:t>:</w:t>
      </w:r>
    </w:p>
    <w:p w14:paraId="1B8AD0E2" w14:textId="39FC4087" w:rsidR="00EA3468" w:rsidRDefault="00EA3468" w:rsidP="00EA3468">
      <w:pPr>
        <w:spacing w:line="480" w:lineRule="auto"/>
        <w:rPr>
          <w:rFonts w:ascii="Times New Roman" w:hAnsi="Times New Roman" w:cs="Times New Roman"/>
          <w:b/>
          <w:bCs/>
          <w:sz w:val="24"/>
          <w:szCs w:val="24"/>
        </w:rPr>
      </w:pPr>
      <w:r w:rsidRPr="003E4243">
        <w:rPr>
          <w:rFonts w:ascii="Times New Roman" w:hAnsi="Times New Roman" w:cs="Times New Roman"/>
          <w:sz w:val="24"/>
          <w:szCs w:val="24"/>
        </w:rPr>
        <w:t>O</w:t>
      </w:r>
      <w:r>
        <w:rPr>
          <w:rFonts w:ascii="Times New Roman" w:hAnsi="Times New Roman" w:cs="Times New Roman"/>
          <w:sz w:val="24"/>
          <w:szCs w:val="24"/>
        </w:rPr>
        <w:t>f</w:t>
      </w:r>
      <w:r w:rsidRPr="003E4243">
        <w:rPr>
          <w:rFonts w:ascii="Times New Roman" w:hAnsi="Times New Roman" w:cs="Times New Roman"/>
          <w:sz w:val="24"/>
          <w:szCs w:val="24"/>
        </w:rPr>
        <w:t xml:space="preserve"> 34 studies, the meta-analysis showed cardioprotective agents significantly</w:t>
      </w:r>
      <w:r>
        <w:rPr>
          <w:rFonts w:ascii="Times New Roman" w:hAnsi="Times New Roman" w:cs="Times New Roman"/>
          <w:sz w:val="24"/>
          <w:szCs w:val="24"/>
        </w:rPr>
        <w:t xml:space="preserve"> increased </w:t>
      </w:r>
      <w:r w:rsidRPr="003E4243">
        <w:rPr>
          <w:rFonts w:ascii="Times New Roman" w:hAnsi="Times New Roman" w:cs="Times New Roman"/>
          <w:sz w:val="24"/>
          <w:szCs w:val="24"/>
        </w:rPr>
        <w:t xml:space="preserve">LVEF </w:t>
      </w:r>
      <w:r>
        <w:rPr>
          <w:rFonts w:ascii="Times New Roman" w:hAnsi="Times New Roman" w:cs="Times New Roman"/>
          <w:sz w:val="24"/>
          <w:szCs w:val="24"/>
        </w:rPr>
        <w:t>and reduced</w:t>
      </w:r>
      <w:r w:rsidRPr="003E4243">
        <w:rPr>
          <w:rFonts w:ascii="Times New Roman" w:hAnsi="Times New Roman" w:cs="Times New Roman"/>
          <w:sz w:val="24"/>
          <w:szCs w:val="24"/>
        </w:rPr>
        <w:t xml:space="preserve"> CTRCD risk, all-cause mortality, </w:t>
      </w:r>
      <w:r>
        <w:rPr>
          <w:rFonts w:ascii="Times New Roman" w:hAnsi="Times New Roman" w:cs="Times New Roman"/>
          <w:sz w:val="24"/>
          <w:szCs w:val="24"/>
        </w:rPr>
        <w:t xml:space="preserve">HF incidence </w:t>
      </w:r>
      <w:r w:rsidRPr="003E4243">
        <w:rPr>
          <w:rFonts w:ascii="Times New Roman" w:hAnsi="Times New Roman" w:cs="Times New Roman"/>
          <w:sz w:val="24"/>
          <w:szCs w:val="24"/>
        </w:rPr>
        <w:t>and L</w:t>
      </w:r>
      <w:r>
        <w:rPr>
          <w:rFonts w:ascii="Times New Roman" w:hAnsi="Times New Roman" w:cs="Times New Roman"/>
          <w:sz w:val="24"/>
          <w:szCs w:val="24"/>
        </w:rPr>
        <w:t>VEDD</w:t>
      </w:r>
      <w:r w:rsidRPr="003E4243">
        <w:rPr>
          <w:rFonts w:ascii="Times New Roman" w:hAnsi="Times New Roman" w:cs="Times New Roman"/>
          <w:sz w:val="24"/>
          <w:szCs w:val="24"/>
        </w:rPr>
        <w:t>. However, no significant differences were seen in the E/A ratio, LV</w:t>
      </w:r>
      <w:r>
        <w:rPr>
          <w:rFonts w:ascii="Times New Roman" w:hAnsi="Times New Roman" w:cs="Times New Roman"/>
          <w:sz w:val="24"/>
          <w:szCs w:val="24"/>
        </w:rPr>
        <w:t>EDV</w:t>
      </w:r>
      <w:r w:rsidRPr="003E4243">
        <w:rPr>
          <w:rFonts w:ascii="Times New Roman" w:hAnsi="Times New Roman" w:cs="Times New Roman"/>
          <w:sz w:val="24"/>
          <w:szCs w:val="24"/>
        </w:rPr>
        <w:t xml:space="preserve">, or HF hospitalization. ACE </w:t>
      </w:r>
      <w:r w:rsidRPr="003E4243">
        <w:rPr>
          <w:rFonts w:ascii="Times New Roman" w:hAnsi="Times New Roman" w:cs="Times New Roman"/>
          <w:sz w:val="24"/>
          <w:szCs w:val="24"/>
        </w:rPr>
        <w:lastRenderedPageBreak/>
        <w:t>inhibitors (ACEIs), beta-blockers, and statins were most effective in preserving LVEF and reducing CTRCD, with ACEIs ranking highest. SGLT2 inhibitors (SGLT2i) significantly reduced mortality</w:t>
      </w:r>
      <w:r>
        <w:rPr>
          <w:rFonts w:ascii="Times New Roman" w:hAnsi="Times New Roman" w:cs="Times New Roman"/>
          <w:sz w:val="24"/>
          <w:szCs w:val="24"/>
        </w:rPr>
        <w:t>.</w:t>
      </w:r>
    </w:p>
    <w:p w14:paraId="377C4060" w14:textId="77777777" w:rsidR="00EA3468" w:rsidRDefault="00EA3468" w:rsidP="00EA3468">
      <w:pPr>
        <w:spacing w:line="480" w:lineRule="auto"/>
        <w:rPr>
          <w:rFonts w:ascii="Times New Roman" w:hAnsi="Times New Roman" w:cs="Times New Roman"/>
          <w:b/>
          <w:bCs/>
          <w:sz w:val="24"/>
          <w:szCs w:val="24"/>
        </w:rPr>
      </w:pPr>
    </w:p>
    <w:p w14:paraId="34BE7E4A" w14:textId="77777777" w:rsidR="00EA3468" w:rsidRDefault="00EA3468" w:rsidP="00EA3468">
      <w:pPr>
        <w:spacing w:line="480" w:lineRule="auto"/>
        <w:rPr>
          <w:rFonts w:asciiTheme="majorBidi" w:hAnsiTheme="majorBidi" w:cstheme="majorBidi"/>
          <w:sz w:val="24"/>
          <w:szCs w:val="24"/>
        </w:rPr>
      </w:pPr>
      <w:r w:rsidRPr="003E4243">
        <w:rPr>
          <w:rFonts w:asciiTheme="majorBidi" w:hAnsiTheme="majorBidi" w:cstheme="majorBidi"/>
          <w:b/>
          <w:bCs/>
          <w:sz w:val="24"/>
          <w:szCs w:val="24"/>
        </w:rPr>
        <w:t>Conclusion</w:t>
      </w:r>
      <w:r>
        <w:rPr>
          <w:rFonts w:asciiTheme="majorBidi" w:hAnsiTheme="majorBidi" w:cstheme="majorBidi"/>
          <w:sz w:val="24"/>
          <w:szCs w:val="24"/>
        </w:rPr>
        <w:t>:</w:t>
      </w:r>
    </w:p>
    <w:p w14:paraId="0AFFA771" w14:textId="315521AB" w:rsidR="00EA3468" w:rsidRPr="00C37018" w:rsidRDefault="00EA3468" w:rsidP="00EA3468">
      <w:pPr>
        <w:spacing w:line="480" w:lineRule="auto"/>
        <w:rPr>
          <w:rFonts w:ascii="Times New Roman" w:hAnsi="Times New Roman" w:cs="Times New Roman"/>
          <w:sz w:val="24"/>
          <w:szCs w:val="24"/>
        </w:rPr>
      </w:pPr>
      <w:r>
        <w:rPr>
          <w:rFonts w:asciiTheme="majorBidi" w:hAnsiTheme="majorBidi" w:cstheme="majorBidi"/>
          <w:sz w:val="24"/>
          <w:szCs w:val="24"/>
        </w:rPr>
        <w:t xml:space="preserve">The use of </w:t>
      </w:r>
      <w:r w:rsidR="007D7313">
        <w:rPr>
          <w:rFonts w:asciiTheme="majorBidi" w:hAnsiTheme="majorBidi" w:cstheme="majorBidi"/>
          <w:sz w:val="24"/>
          <w:szCs w:val="24"/>
        </w:rPr>
        <w:t>cardioprotective drugs can</w:t>
      </w:r>
      <w:r>
        <w:rPr>
          <w:rFonts w:asciiTheme="majorBidi" w:hAnsiTheme="majorBidi" w:cstheme="majorBidi"/>
          <w:sz w:val="24"/>
          <w:szCs w:val="24"/>
        </w:rPr>
        <w:t xml:space="preserve"> improve morbidity and mortality in patients receiving anthracyclines. Further large-scale studies are required </w:t>
      </w:r>
      <w:r w:rsidRPr="003E4243">
        <w:rPr>
          <w:rFonts w:asciiTheme="majorBidi" w:hAnsiTheme="majorBidi" w:cstheme="majorBidi"/>
          <w:sz w:val="24"/>
          <w:szCs w:val="24"/>
        </w:rPr>
        <w:t>to explore the effects of SGLT2i</w:t>
      </w:r>
      <w:r>
        <w:rPr>
          <w:rFonts w:asciiTheme="majorBidi" w:hAnsiTheme="majorBidi" w:cstheme="majorBidi"/>
          <w:sz w:val="24"/>
          <w:szCs w:val="24"/>
        </w:rPr>
        <w:t xml:space="preserve"> on LVEF </w:t>
      </w:r>
      <w:r w:rsidRPr="00C37018">
        <w:rPr>
          <w:rFonts w:ascii="Times New Roman" w:hAnsi="Times New Roman" w:cs="Times New Roman"/>
          <w:sz w:val="24"/>
          <w:szCs w:val="24"/>
        </w:rPr>
        <w:t>and address the potential biases in observational studies.</w:t>
      </w:r>
    </w:p>
    <w:p w14:paraId="0CC74344" w14:textId="77777777" w:rsidR="00EA3468" w:rsidRDefault="00EA3468" w:rsidP="00EA3468">
      <w:pPr>
        <w:spacing w:line="480" w:lineRule="auto"/>
        <w:rPr>
          <w:rFonts w:asciiTheme="majorBidi" w:hAnsiTheme="majorBidi" w:cstheme="majorBidi"/>
          <w:sz w:val="24"/>
          <w:szCs w:val="24"/>
        </w:rPr>
      </w:pPr>
    </w:p>
    <w:p w14:paraId="536C376E" w14:textId="77777777" w:rsidR="00EA3468" w:rsidRDefault="00EA3468" w:rsidP="00EA3468">
      <w:pPr>
        <w:spacing w:line="480" w:lineRule="auto"/>
        <w:rPr>
          <w:rFonts w:asciiTheme="majorBidi" w:hAnsiTheme="majorBidi" w:cstheme="majorBidi"/>
          <w:sz w:val="24"/>
          <w:szCs w:val="24"/>
        </w:rPr>
      </w:pPr>
    </w:p>
    <w:p w14:paraId="79976BD9" w14:textId="77777777" w:rsidR="00EA3468" w:rsidRPr="003E4243" w:rsidRDefault="00EA3468" w:rsidP="00EA3468">
      <w:pPr>
        <w:spacing w:line="480" w:lineRule="auto"/>
        <w:rPr>
          <w:rFonts w:asciiTheme="majorBidi" w:hAnsiTheme="majorBidi" w:cstheme="majorBidi"/>
          <w:sz w:val="24"/>
          <w:szCs w:val="24"/>
        </w:rPr>
      </w:pPr>
    </w:p>
    <w:p w14:paraId="41114B75" w14:textId="1D44423A" w:rsidR="00EA3468" w:rsidRPr="00C55BAB" w:rsidRDefault="00EA3468" w:rsidP="00EA3468">
      <w:pPr>
        <w:spacing w:line="480" w:lineRule="auto"/>
        <w:rPr>
          <w:rFonts w:ascii="Times New Roman" w:hAnsi="Times New Roman" w:cs="Times New Roman"/>
          <w:sz w:val="24"/>
          <w:szCs w:val="24"/>
        </w:rPr>
      </w:pPr>
      <w:r w:rsidRPr="00C55BAB">
        <w:rPr>
          <w:rFonts w:ascii="Times New Roman" w:hAnsi="Times New Roman" w:cs="Times New Roman"/>
          <w:noProof/>
          <w:sz w:val="24"/>
          <w:szCs w:val="24"/>
          <w:lang w:bidi="ar-EG"/>
        </w:rPr>
        <w:t>.</w:t>
      </w:r>
    </w:p>
    <w:p w14:paraId="4F88A96F" w14:textId="6CF6F862" w:rsidR="00EA3468" w:rsidRPr="00C55BAB" w:rsidRDefault="00CB356A" w:rsidP="00EA3468">
      <w:pPr>
        <w:spacing w:line="480" w:lineRule="auto"/>
        <w:rPr>
          <w:rFonts w:ascii="Times New Roman" w:hAnsi="Times New Roman" w:cs="Times New Roman"/>
          <w:sz w:val="24"/>
          <w:szCs w:val="24"/>
          <w:lang w:bidi="ar-EG"/>
        </w:rPr>
        <w:sectPr w:rsidR="00EA3468" w:rsidRPr="00C55BAB" w:rsidSect="00EA3468">
          <w:pgSz w:w="12240" w:h="18720"/>
          <w:pgMar w:top="1440" w:right="1440" w:bottom="1440" w:left="1440" w:header="720" w:footer="720" w:gutter="0"/>
          <w:cols w:space="720"/>
          <w:docGrid w:linePitch="360"/>
        </w:sectPr>
      </w:pPr>
      <w:r>
        <w:rPr>
          <w:rFonts w:ascii="Times New Roman" w:hAnsi="Times New Roman" w:cs="Times New Roman"/>
          <w:noProof/>
          <w:sz w:val="24"/>
          <w:szCs w:val="24"/>
          <w:lang w:bidi="ar-EG"/>
          <w14:ligatures w14:val="standardContextual"/>
        </w:rPr>
        <w:drawing>
          <wp:inline distT="0" distB="0" distL="0" distR="0" wp14:anchorId="59A3C747" wp14:editId="655F883E">
            <wp:extent cx="6423660" cy="4329328"/>
            <wp:effectExtent l="0" t="0" r="0" b="0"/>
            <wp:docPr id="79023412" name="Picture 1"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23412" name="Picture 1" descr="A close-up of a ch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34132" cy="4336386"/>
                    </a:xfrm>
                    <a:prstGeom prst="rect">
                      <a:avLst/>
                    </a:prstGeom>
                  </pic:spPr>
                </pic:pic>
              </a:graphicData>
            </a:graphic>
          </wp:inline>
        </w:drawing>
      </w:r>
    </w:p>
    <w:p w14:paraId="48D8F0AC" w14:textId="77777777" w:rsidR="00EA3468" w:rsidRPr="00C55BAB" w:rsidRDefault="00EA3468" w:rsidP="00EA3468">
      <w:pPr>
        <w:spacing w:line="480" w:lineRule="auto"/>
        <w:rPr>
          <w:rFonts w:ascii="Times New Roman" w:hAnsi="Times New Roman" w:cs="Times New Roman"/>
          <w:sz w:val="24"/>
          <w:szCs w:val="24"/>
          <w:lang w:bidi="ar-EG"/>
        </w:rPr>
        <w:sectPr w:rsidR="00EA3468" w:rsidRPr="00C55BAB" w:rsidSect="00EA3468">
          <w:pgSz w:w="12240" w:h="18720"/>
          <w:pgMar w:top="1440" w:right="1440" w:bottom="1440" w:left="1440" w:header="720" w:footer="720" w:gutter="0"/>
          <w:cols w:space="720"/>
          <w:docGrid w:linePitch="360"/>
        </w:sectPr>
      </w:pPr>
    </w:p>
    <w:p w14:paraId="3E515029" w14:textId="77777777" w:rsidR="00253E38" w:rsidRPr="00EA3468" w:rsidRDefault="00253E38" w:rsidP="00EA3468"/>
    <w:sectPr w:rsidR="00253E38" w:rsidRPr="00EA3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495B98"/>
    <w:multiLevelType w:val="hybridMultilevel"/>
    <w:tmpl w:val="3CAE3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5A3B1F"/>
    <w:multiLevelType w:val="hybridMultilevel"/>
    <w:tmpl w:val="E7E61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541729">
    <w:abstractNumId w:val="1"/>
  </w:num>
  <w:num w:numId="2" w16cid:durableId="812722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61"/>
    <w:rsid w:val="000526D0"/>
    <w:rsid w:val="000D28C9"/>
    <w:rsid w:val="000D4050"/>
    <w:rsid w:val="002265E0"/>
    <w:rsid w:val="00253E38"/>
    <w:rsid w:val="002B4DDE"/>
    <w:rsid w:val="002D020C"/>
    <w:rsid w:val="003419AA"/>
    <w:rsid w:val="003A7B36"/>
    <w:rsid w:val="003E4243"/>
    <w:rsid w:val="0046533E"/>
    <w:rsid w:val="005846C1"/>
    <w:rsid w:val="00584C05"/>
    <w:rsid w:val="00604A31"/>
    <w:rsid w:val="00607049"/>
    <w:rsid w:val="00652F35"/>
    <w:rsid w:val="00675C9A"/>
    <w:rsid w:val="00681292"/>
    <w:rsid w:val="006C30DE"/>
    <w:rsid w:val="006D2B85"/>
    <w:rsid w:val="007818A8"/>
    <w:rsid w:val="007923CC"/>
    <w:rsid w:val="007C3868"/>
    <w:rsid w:val="007D226F"/>
    <w:rsid w:val="007D7313"/>
    <w:rsid w:val="00870552"/>
    <w:rsid w:val="00882975"/>
    <w:rsid w:val="008C2964"/>
    <w:rsid w:val="008E7DA1"/>
    <w:rsid w:val="00902199"/>
    <w:rsid w:val="009A688C"/>
    <w:rsid w:val="009B5B05"/>
    <w:rsid w:val="00A50F22"/>
    <w:rsid w:val="00AC71AB"/>
    <w:rsid w:val="00AE4BCA"/>
    <w:rsid w:val="00B05070"/>
    <w:rsid w:val="00B213D3"/>
    <w:rsid w:val="00B42C70"/>
    <w:rsid w:val="00B63D32"/>
    <w:rsid w:val="00BB0A72"/>
    <w:rsid w:val="00C46C61"/>
    <w:rsid w:val="00C526C2"/>
    <w:rsid w:val="00CB356A"/>
    <w:rsid w:val="00CB3FCA"/>
    <w:rsid w:val="00CD119B"/>
    <w:rsid w:val="00CD283B"/>
    <w:rsid w:val="00D415AD"/>
    <w:rsid w:val="00D87189"/>
    <w:rsid w:val="00DA6E23"/>
    <w:rsid w:val="00E355D8"/>
    <w:rsid w:val="00EA3468"/>
    <w:rsid w:val="00F00674"/>
    <w:rsid w:val="00F0727B"/>
    <w:rsid w:val="00F36724"/>
    <w:rsid w:val="00FC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8673"/>
  <w15:chartTrackingRefBased/>
  <w15:docId w15:val="{4D21366C-84AD-544F-B50D-B1452D92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C61"/>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C46C61"/>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46C61"/>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46C61"/>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46C61"/>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46C61"/>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46C61"/>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46C61"/>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46C61"/>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46C61"/>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C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C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C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C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C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C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C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C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C61"/>
    <w:rPr>
      <w:rFonts w:eastAsiaTheme="majorEastAsia" w:cstheme="majorBidi"/>
      <w:color w:val="272727" w:themeColor="text1" w:themeTint="D8"/>
    </w:rPr>
  </w:style>
  <w:style w:type="paragraph" w:styleId="Title">
    <w:name w:val="Title"/>
    <w:basedOn w:val="Normal"/>
    <w:next w:val="Normal"/>
    <w:link w:val="TitleChar"/>
    <w:uiPriority w:val="10"/>
    <w:qFormat/>
    <w:rsid w:val="00C46C6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46C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C61"/>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46C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C61"/>
    <w:pPr>
      <w:spacing w:before="160" w:line="240"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46C61"/>
    <w:rPr>
      <w:i/>
      <w:iCs/>
      <w:color w:val="404040" w:themeColor="text1" w:themeTint="BF"/>
    </w:rPr>
  </w:style>
  <w:style w:type="paragraph" w:styleId="ListParagraph">
    <w:name w:val="List Paragraph"/>
    <w:basedOn w:val="Normal"/>
    <w:uiPriority w:val="34"/>
    <w:qFormat/>
    <w:rsid w:val="00C46C61"/>
    <w:pPr>
      <w:spacing w:after="0" w:line="240"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46C61"/>
    <w:rPr>
      <w:i/>
      <w:iCs/>
      <w:color w:val="0F4761" w:themeColor="accent1" w:themeShade="BF"/>
    </w:rPr>
  </w:style>
  <w:style w:type="paragraph" w:styleId="IntenseQuote">
    <w:name w:val="Intense Quote"/>
    <w:basedOn w:val="Normal"/>
    <w:next w:val="Normal"/>
    <w:link w:val="IntenseQuoteChar"/>
    <w:uiPriority w:val="30"/>
    <w:qFormat/>
    <w:rsid w:val="00C46C61"/>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46C61"/>
    <w:rPr>
      <w:i/>
      <w:iCs/>
      <w:color w:val="0F4761" w:themeColor="accent1" w:themeShade="BF"/>
    </w:rPr>
  </w:style>
  <w:style w:type="character" w:styleId="IntenseReference">
    <w:name w:val="Intense Reference"/>
    <w:basedOn w:val="DefaultParagraphFont"/>
    <w:uiPriority w:val="32"/>
    <w:qFormat/>
    <w:rsid w:val="00C46C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784089515CC14CABC84A1008A8AF8E" ma:contentTypeVersion="15" ma:contentTypeDescription="Create a new document." ma:contentTypeScope="" ma:versionID="3229c13a0aad9cba314de9f06d3a7b0b">
  <xsd:schema xmlns:xsd="http://www.w3.org/2001/XMLSchema" xmlns:xs="http://www.w3.org/2001/XMLSchema" xmlns:p="http://schemas.microsoft.com/office/2006/metadata/properties" xmlns:ns2="9daceee2-7fc3-4e69-a7f8-f656f4595a3b" xmlns:ns3="2ebf1801-a127-496b-8cc5-36b940a22be9" targetNamespace="http://schemas.microsoft.com/office/2006/metadata/properties" ma:root="true" ma:fieldsID="d0de6901c19e025aa07eae418e800b1d" ns2:_="" ns3:_="">
    <xsd:import namespace="9daceee2-7fc3-4e69-a7f8-f656f4595a3b"/>
    <xsd:import namespace="2ebf1801-a127-496b-8cc5-36b940a22be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ceee2-7fc3-4e69-a7f8-f656f4595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75c1e-a054-4280-b21f-5b25a05176e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bf1801-a127-496b-8cc5-36b940a22b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7198d5-68fc-4f39-955d-7ef65555d67c}" ma:internalName="TaxCatchAll" ma:showField="CatchAllData" ma:web="2ebf1801-a127-496b-8cc5-36b940a22be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6E1977-A163-41BD-99C9-0F83FA1A98B5}"/>
</file>

<file path=customXml/itemProps2.xml><?xml version="1.0" encoding="utf-8"?>
<ds:datastoreItem xmlns:ds="http://schemas.openxmlformats.org/officeDocument/2006/customXml" ds:itemID="{C69C3702-6BB2-40A2-B238-D032B1F04144}"/>
</file>

<file path=docProps/app.xml><?xml version="1.0" encoding="utf-8"?>
<Properties xmlns="http://schemas.openxmlformats.org/officeDocument/2006/extended-properties" xmlns:vt="http://schemas.openxmlformats.org/officeDocument/2006/docPropsVTypes">
  <Template>Normal.dotm</Template>
  <TotalTime>56</TotalTime>
  <Pages>4</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User9023</dc:creator>
  <cp:keywords/>
  <dc:description/>
  <cp:lastModifiedBy>Amrin Kharawala</cp:lastModifiedBy>
  <cp:revision>7</cp:revision>
  <dcterms:created xsi:type="dcterms:W3CDTF">2024-09-13T15:50:00Z</dcterms:created>
  <dcterms:modified xsi:type="dcterms:W3CDTF">2024-09-15T21:02:00Z</dcterms:modified>
</cp:coreProperties>
</file>