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256D" w14:textId="42B95095" w:rsidR="007869B2" w:rsidRDefault="007869B2" w:rsidP="00A7703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Valve-in-valve Transcatheter Mitral Valve Replacement versus redo Surgical Mitral valve replacement in degenerated bioprosthetic Mitral valve: Analysis of National Inpatient Sample</w:t>
      </w:r>
    </w:p>
    <w:p w14:paraId="420970F6" w14:textId="25F9F783" w:rsidR="00AD37E6" w:rsidRPr="00A77031" w:rsidRDefault="00A9559B" w:rsidP="00A77031">
      <w:pPr>
        <w:spacing w:line="360" w:lineRule="auto"/>
        <w:rPr>
          <w:rFonts w:ascii="Times New Roman" w:hAnsi="Times New Roman" w:cs="Times New Roman"/>
          <w:b/>
          <w:bCs/>
        </w:rPr>
      </w:pPr>
      <w:r w:rsidRPr="00A77031">
        <w:rPr>
          <w:rFonts w:ascii="Times New Roman" w:hAnsi="Times New Roman" w:cs="Times New Roman"/>
          <w:b/>
          <w:bCs/>
        </w:rPr>
        <w:t>Background:</w:t>
      </w:r>
    </w:p>
    <w:p w14:paraId="726193B1" w14:textId="1483A253" w:rsidR="00A9559B" w:rsidRPr="00A77031" w:rsidRDefault="00A9559B" w:rsidP="00A77031">
      <w:pPr>
        <w:spacing w:line="360" w:lineRule="auto"/>
        <w:rPr>
          <w:rFonts w:ascii="Times New Roman" w:hAnsi="Times New Roman" w:cs="Times New Roman"/>
        </w:rPr>
      </w:pPr>
      <w:r w:rsidRPr="00A77031">
        <w:rPr>
          <w:rFonts w:ascii="Times New Roman" w:hAnsi="Times New Roman" w:cs="Times New Roman"/>
        </w:rPr>
        <w:t>Valve-in-valve Transcatheter Mitral valve replacement (</w:t>
      </w:r>
      <w:proofErr w:type="spellStart"/>
      <w:r w:rsidRPr="00A77031">
        <w:rPr>
          <w:rFonts w:ascii="Times New Roman" w:hAnsi="Times New Roman" w:cs="Times New Roman"/>
        </w:rPr>
        <w:t>ViV</w:t>
      </w:r>
      <w:proofErr w:type="spellEnd"/>
      <w:r w:rsidRPr="00A77031">
        <w:rPr>
          <w:rFonts w:ascii="Times New Roman" w:hAnsi="Times New Roman" w:cs="Times New Roman"/>
        </w:rPr>
        <w:t xml:space="preserve"> TMVR) is considered as an acceptable alternative to redo surg</w:t>
      </w:r>
      <w:r w:rsidR="00A77031">
        <w:rPr>
          <w:rFonts w:ascii="Times New Roman" w:hAnsi="Times New Roman" w:cs="Times New Roman"/>
        </w:rPr>
        <w:t>ical mitral valve replacement (SMVR)</w:t>
      </w:r>
      <w:r w:rsidRPr="00A77031">
        <w:rPr>
          <w:rFonts w:ascii="Times New Roman" w:hAnsi="Times New Roman" w:cs="Times New Roman"/>
        </w:rPr>
        <w:t xml:space="preserve"> in patients with bioprosthetic mitral valve dysfunction </w:t>
      </w:r>
      <w:r w:rsidR="00556306">
        <w:rPr>
          <w:rFonts w:ascii="Times New Roman" w:hAnsi="Times New Roman" w:cs="Times New Roman"/>
        </w:rPr>
        <w:t>who has</w:t>
      </w:r>
      <w:r w:rsidRPr="00A77031">
        <w:rPr>
          <w:rFonts w:ascii="Times New Roman" w:hAnsi="Times New Roman" w:cs="Times New Roman"/>
        </w:rPr>
        <w:t xml:space="preserve"> high or prohibitive surgical risk. In our study we compare</w:t>
      </w:r>
      <w:r w:rsidR="00962F05" w:rsidRPr="00A77031">
        <w:rPr>
          <w:rFonts w:ascii="Times New Roman" w:hAnsi="Times New Roman" w:cs="Times New Roman"/>
        </w:rPr>
        <w:t xml:space="preserve">d the real-world outcomes between </w:t>
      </w:r>
      <w:proofErr w:type="spellStart"/>
      <w:r w:rsidR="00962F05" w:rsidRPr="00A77031">
        <w:rPr>
          <w:rFonts w:ascii="Times New Roman" w:hAnsi="Times New Roman" w:cs="Times New Roman"/>
        </w:rPr>
        <w:t>ViV</w:t>
      </w:r>
      <w:proofErr w:type="spellEnd"/>
      <w:r w:rsidR="00962F05" w:rsidRPr="00A77031">
        <w:rPr>
          <w:rFonts w:ascii="Times New Roman" w:hAnsi="Times New Roman" w:cs="Times New Roman"/>
        </w:rPr>
        <w:t xml:space="preserve"> </w:t>
      </w:r>
      <w:r w:rsidR="00560F39">
        <w:rPr>
          <w:rFonts w:ascii="Times New Roman" w:hAnsi="Times New Roman" w:cs="Times New Roman"/>
        </w:rPr>
        <w:t>TMV</w:t>
      </w:r>
      <w:r w:rsidR="00962F05" w:rsidRPr="00A77031">
        <w:rPr>
          <w:rFonts w:ascii="Times New Roman" w:hAnsi="Times New Roman" w:cs="Times New Roman"/>
        </w:rPr>
        <w:t xml:space="preserve">R and redo </w:t>
      </w:r>
      <w:r w:rsidR="00560F39">
        <w:rPr>
          <w:rFonts w:ascii="Times New Roman" w:hAnsi="Times New Roman" w:cs="Times New Roman"/>
        </w:rPr>
        <w:t>SMVR</w:t>
      </w:r>
      <w:r w:rsidR="00556306">
        <w:rPr>
          <w:rFonts w:ascii="Times New Roman" w:hAnsi="Times New Roman" w:cs="Times New Roman"/>
        </w:rPr>
        <w:t xml:space="preserve"> using </w:t>
      </w:r>
      <w:r w:rsidR="00556306" w:rsidRPr="00A77031">
        <w:rPr>
          <w:rFonts w:ascii="Times New Roman" w:hAnsi="Times New Roman" w:cs="Times New Roman"/>
        </w:rPr>
        <w:t>National inpatient Sample</w:t>
      </w:r>
      <w:r w:rsidR="00556306">
        <w:rPr>
          <w:rFonts w:ascii="Times New Roman" w:hAnsi="Times New Roman" w:cs="Times New Roman"/>
        </w:rPr>
        <w:t xml:space="preserve"> database</w:t>
      </w:r>
      <w:r w:rsidR="00962F05" w:rsidRPr="00A77031">
        <w:rPr>
          <w:rFonts w:ascii="Times New Roman" w:hAnsi="Times New Roman" w:cs="Times New Roman"/>
        </w:rPr>
        <w:t>.</w:t>
      </w:r>
    </w:p>
    <w:p w14:paraId="0E213621" w14:textId="7640D76D" w:rsidR="00962F05" w:rsidRPr="00A77031" w:rsidRDefault="00962F05" w:rsidP="00A77031">
      <w:pPr>
        <w:spacing w:line="360" w:lineRule="auto"/>
        <w:rPr>
          <w:rFonts w:ascii="Times New Roman" w:hAnsi="Times New Roman" w:cs="Times New Roman"/>
          <w:b/>
          <w:bCs/>
        </w:rPr>
      </w:pPr>
      <w:r w:rsidRPr="00A77031">
        <w:rPr>
          <w:rFonts w:ascii="Times New Roman" w:hAnsi="Times New Roman" w:cs="Times New Roman"/>
          <w:b/>
          <w:bCs/>
        </w:rPr>
        <w:t>Methods:</w:t>
      </w:r>
    </w:p>
    <w:p w14:paraId="30955767" w14:textId="4681C339" w:rsidR="00962F05" w:rsidRPr="00A77031" w:rsidRDefault="00556306" w:rsidP="00A77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Hospitalizations for </w:t>
      </w:r>
      <w:r w:rsidR="00BC1338" w:rsidRPr="00A77031">
        <w:rPr>
          <w:rFonts w:ascii="Times New Roman" w:hAnsi="Times New Roman" w:cs="Times New Roman"/>
        </w:rPr>
        <w:t>TMVR or redo</w:t>
      </w:r>
      <w:r w:rsidR="00A77031">
        <w:rPr>
          <w:rFonts w:ascii="Times New Roman" w:hAnsi="Times New Roman" w:cs="Times New Roman"/>
        </w:rPr>
        <w:t xml:space="preserve"> SMVR</w:t>
      </w:r>
      <w:r w:rsidR="00BC1338" w:rsidRPr="00A77031">
        <w:rPr>
          <w:rFonts w:ascii="Times New Roman" w:hAnsi="Times New Roman" w:cs="Times New Roman"/>
        </w:rPr>
        <w:t xml:space="preserve"> </w:t>
      </w:r>
      <w:r w:rsidR="00560F39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prior </w:t>
      </w:r>
      <w:r w:rsidR="00BC1338" w:rsidRPr="00A77031">
        <w:rPr>
          <w:rFonts w:ascii="Times New Roman" w:hAnsi="Times New Roman" w:cs="Times New Roman"/>
        </w:rPr>
        <w:t>bioprosthetic</w:t>
      </w:r>
      <w:r>
        <w:rPr>
          <w:rFonts w:ascii="Times New Roman" w:hAnsi="Times New Roman" w:cs="Times New Roman"/>
        </w:rPr>
        <w:t xml:space="preserve"> valve </w:t>
      </w:r>
      <w:r w:rsidR="00BC1338" w:rsidRPr="00A77031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="00BC1338" w:rsidRPr="00A77031">
        <w:rPr>
          <w:rFonts w:ascii="Times New Roman" w:hAnsi="Times New Roman" w:cs="Times New Roman"/>
        </w:rPr>
        <w:t xml:space="preserve">identified </w:t>
      </w:r>
      <w:r>
        <w:rPr>
          <w:rFonts w:ascii="Times New Roman" w:hAnsi="Times New Roman" w:cs="Times New Roman"/>
        </w:rPr>
        <w:t xml:space="preserve">between 2015 to 2018 </w:t>
      </w:r>
      <w:r w:rsidR="00BC1338" w:rsidRPr="00A77031">
        <w:rPr>
          <w:rFonts w:ascii="Times New Roman" w:hAnsi="Times New Roman" w:cs="Times New Roman"/>
        </w:rPr>
        <w:t xml:space="preserve">using the appropriate International Classification of Diseases, </w:t>
      </w:r>
      <w:r>
        <w:rPr>
          <w:rFonts w:ascii="Times New Roman" w:hAnsi="Times New Roman" w:cs="Times New Roman"/>
        </w:rPr>
        <w:t>10</w:t>
      </w:r>
      <w:r w:rsidRPr="0055630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BC1338" w:rsidRPr="00A77031">
        <w:rPr>
          <w:rFonts w:ascii="Times New Roman" w:hAnsi="Times New Roman" w:cs="Times New Roman"/>
        </w:rPr>
        <w:t xml:space="preserve">edition. </w:t>
      </w:r>
      <w:r>
        <w:rPr>
          <w:rFonts w:ascii="Times New Roman" w:hAnsi="Times New Roman" w:cs="Times New Roman"/>
        </w:rPr>
        <w:t>Outcomes of interest were a</w:t>
      </w:r>
      <w:r w:rsidR="00BC1338" w:rsidRPr="00A77031">
        <w:rPr>
          <w:rFonts w:ascii="Times New Roman" w:hAnsi="Times New Roman" w:cs="Times New Roman"/>
        </w:rPr>
        <w:t>ll-cause in-hospital mortality</w:t>
      </w:r>
      <w:r>
        <w:rPr>
          <w:rFonts w:ascii="Times New Roman" w:hAnsi="Times New Roman" w:cs="Times New Roman"/>
        </w:rPr>
        <w:t xml:space="preserve"> and </w:t>
      </w:r>
      <w:r w:rsidR="00BC1338" w:rsidRPr="00A77031">
        <w:rPr>
          <w:rFonts w:ascii="Times New Roman" w:hAnsi="Times New Roman" w:cs="Times New Roman"/>
        </w:rPr>
        <w:t>procedural</w:t>
      </w:r>
      <w:r>
        <w:rPr>
          <w:rFonts w:ascii="Times New Roman" w:hAnsi="Times New Roman" w:cs="Times New Roman"/>
        </w:rPr>
        <w:t xml:space="preserve"> complications</w:t>
      </w:r>
      <w:r w:rsidR="00BC1338" w:rsidRPr="00A77031">
        <w:rPr>
          <w:rFonts w:ascii="Times New Roman" w:hAnsi="Times New Roman" w:cs="Times New Roman"/>
        </w:rPr>
        <w:t xml:space="preserve"> including major bleeding, TIA/Stroke, AKI</w:t>
      </w:r>
      <w:r>
        <w:rPr>
          <w:rFonts w:ascii="Times New Roman" w:hAnsi="Times New Roman" w:cs="Times New Roman"/>
        </w:rPr>
        <w:t xml:space="preserve">, </w:t>
      </w:r>
      <w:r w:rsidR="00BC1338" w:rsidRPr="00A77031">
        <w:rPr>
          <w:rFonts w:ascii="Times New Roman" w:hAnsi="Times New Roman" w:cs="Times New Roman"/>
        </w:rPr>
        <w:t>and need for blood transfusions</w:t>
      </w:r>
      <w:r w:rsidR="00A77031" w:rsidRPr="00A77031">
        <w:rPr>
          <w:rFonts w:ascii="Times New Roman" w:hAnsi="Times New Roman" w:cs="Times New Roman"/>
        </w:rPr>
        <w:t>.</w:t>
      </w:r>
      <w:r w:rsidR="00560F39">
        <w:rPr>
          <w:rFonts w:ascii="Times New Roman" w:hAnsi="Times New Roman" w:cs="Times New Roman"/>
        </w:rPr>
        <w:t xml:space="preserve"> Multivariate regression was used to obtain odds ratio and statistical significance was set at a P-value of &lt;0.05. All analyses were performed using SAS, version 9.4 (SAS Institute Inc.).</w:t>
      </w:r>
    </w:p>
    <w:p w14:paraId="2E590C2F" w14:textId="6B81BF13" w:rsidR="00A77031" w:rsidRPr="00B50FB9" w:rsidRDefault="00A77031" w:rsidP="00A77031">
      <w:pPr>
        <w:spacing w:line="360" w:lineRule="auto"/>
        <w:rPr>
          <w:rFonts w:ascii="Times New Roman" w:hAnsi="Times New Roman" w:cs="Times New Roman"/>
          <w:b/>
          <w:bCs/>
        </w:rPr>
      </w:pPr>
      <w:r w:rsidRPr="00B50FB9">
        <w:rPr>
          <w:rFonts w:ascii="Times New Roman" w:hAnsi="Times New Roman" w:cs="Times New Roman"/>
          <w:b/>
          <w:bCs/>
        </w:rPr>
        <w:t>Results:</w:t>
      </w:r>
    </w:p>
    <w:p w14:paraId="6B8C2F24" w14:textId="4180DFA7" w:rsidR="00A77031" w:rsidRDefault="00A77031" w:rsidP="00A77031">
      <w:pPr>
        <w:spacing w:line="360" w:lineRule="auto"/>
        <w:rPr>
          <w:rFonts w:ascii="Times New Roman" w:hAnsi="Times New Roman" w:cs="Times New Roman"/>
        </w:rPr>
      </w:pPr>
      <w:r w:rsidRPr="00A77031">
        <w:rPr>
          <w:rFonts w:ascii="Times New Roman" w:hAnsi="Times New Roman" w:cs="Times New Roman"/>
        </w:rPr>
        <w:t xml:space="preserve">A total of 2015 hospitalizations were identified who had undergone either </w:t>
      </w:r>
      <w:r w:rsidR="00542040">
        <w:rPr>
          <w:rFonts w:ascii="Times New Roman" w:hAnsi="Times New Roman" w:cs="Times New Roman"/>
        </w:rPr>
        <w:t xml:space="preserve">TMVR </w:t>
      </w:r>
      <w:r w:rsidRPr="00A77031">
        <w:rPr>
          <w:rFonts w:ascii="Times New Roman" w:hAnsi="Times New Roman" w:cs="Times New Roman"/>
        </w:rPr>
        <w:t xml:space="preserve">(n=225) or </w:t>
      </w:r>
      <w:r w:rsidR="00542040">
        <w:rPr>
          <w:rFonts w:ascii="Times New Roman" w:hAnsi="Times New Roman" w:cs="Times New Roman"/>
        </w:rPr>
        <w:t xml:space="preserve">SMVR </w:t>
      </w:r>
      <w:r w:rsidRPr="00A77031">
        <w:rPr>
          <w:rFonts w:ascii="Times New Roman" w:hAnsi="Times New Roman" w:cs="Times New Roman"/>
        </w:rPr>
        <w:t xml:space="preserve">(n=1790) for previous bioprosthetic MV failure. The mean age of patients in </w:t>
      </w:r>
      <w:proofErr w:type="spellStart"/>
      <w:r w:rsidRPr="00A77031">
        <w:rPr>
          <w:rFonts w:ascii="Times New Roman" w:hAnsi="Times New Roman" w:cs="Times New Roman"/>
        </w:rPr>
        <w:t>ViV</w:t>
      </w:r>
      <w:proofErr w:type="spellEnd"/>
      <w:r w:rsidRPr="00A77031">
        <w:rPr>
          <w:rFonts w:ascii="Times New Roman" w:hAnsi="Times New Roman" w:cs="Times New Roman"/>
        </w:rPr>
        <w:t xml:space="preserve"> TMVR group was 72 years and in redo SMVR group was 62 years. The all-cause in hospital mortality was similar in percutaneous and redo surgery group (8.89&amp; vs 7.26%, P=0.38). The rates of stroke (0% vs 3.63%, p=0.003), major bleeding (6.7% vs 11.4%, P=0.03), and blood transfusion (11.1% vs 29.3%, P=&lt;0.0001) were lower in </w:t>
      </w:r>
      <w:proofErr w:type="spellStart"/>
      <w:r w:rsidRPr="00A77031">
        <w:rPr>
          <w:rFonts w:ascii="Times New Roman" w:hAnsi="Times New Roman" w:cs="Times New Roman"/>
        </w:rPr>
        <w:t>ViV</w:t>
      </w:r>
      <w:proofErr w:type="spellEnd"/>
      <w:r w:rsidRPr="00A77031">
        <w:rPr>
          <w:rFonts w:ascii="Times New Roman" w:hAnsi="Times New Roman" w:cs="Times New Roman"/>
        </w:rPr>
        <w:t xml:space="preserve"> TMVR group. The rates pericardial effusion was higher in </w:t>
      </w:r>
      <w:proofErr w:type="spellStart"/>
      <w:r w:rsidRPr="00A77031">
        <w:rPr>
          <w:rFonts w:ascii="Times New Roman" w:hAnsi="Times New Roman" w:cs="Times New Roman"/>
        </w:rPr>
        <w:t>ViV</w:t>
      </w:r>
      <w:proofErr w:type="spellEnd"/>
      <w:r w:rsidRPr="00A77031">
        <w:rPr>
          <w:rFonts w:ascii="Times New Roman" w:hAnsi="Times New Roman" w:cs="Times New Roman"/>
        </w:rPr>
        <w:t xml:space="preserve"> TMVR group (8.9% vs 2.23%, P=&lt;0.0001) compared to surgical group.</w:t>
      </w:r>
      <w:r w:rsidR="007869B2">
        <w:rPr>
          <w:rFonts w:ascii="Times New Roman" w:hAnsi="Times New Roman" w:cs="Times New Roman"/>
        </w:rPr>
        <w:t xml:space="preserve"> (Table 1)</w:t>
      </w:r>
    </w:p>
    <w:p w14:paraId="264B7F87" w14:textId="7ABFF5B4" w:rsidR="00A77031" w:rsidRDefault="00A77031" w:rsidP="00A77031">
      <w:pPr>
        <w:spacing w:line="360" w:lineRule="auto"/>
        <w:rPr>
          <w:rFonts w:ascii="Times New Roman" w:hAnsi="Times New Roman" w:cs="Times New Roman"/>
          <w:b/>
          <w:bCs/>
        </w:rPr>
      </w:pPr>
      <w:r w:rsidRPr="00B50FB9">
        <w:rPr>
          <w:rFonts w:ascii="Times New Roman" w:hAnsi="Times New Roman" w:cs="Times New Roman"/>
          <w:b/>
          <w:bCs/>
        </w:rPr>
        <w:t xml:space="preserve">Conclusion: </w:t>
      </w:r>
    </w:p>
    <w:p w14:paraId="3141F161" w14:textId="600A7A40" w:rsidR="00B50FB9" w:rsidRPr="00FC2685" w:rsidRDefault="00B50FB9" w:rsidP="00A77031">
      <w:pPr>
        <w:spacing w:line="360" w:lineRule="auto"/>
        <w:rPr>
          <w:rFonts w:ascii="Times New Roman" w:hAnsi="Times New Roman" w:cs="Times New Roman"/>
        </w:rPr>
      </w:pPr>
      <w:r w:rsidRPr="00FC2685">
        <w:rPr>
          <w:rFonts w:ascii="Times New Roman" w:hAnsi="Times New Roman" w:cs="Times New Roman"/>
        </w:rPr>
        <w:t xml:space="preserve">There is no difference in in-hospital mortality between </w:t>
      </w:r>
      <w:proofErr w:type="spellStart"/>
      <w:r w:rsidRPr="00FC2685">
        <w:rPr>
          <w:rFonts w:ascii="Times New Roman" w:hAnsi="Times New Roman" w:cs="Times New Roman"/>
        </w:rPr>
        <w:t>ViV</w:t>
      </w:r>
      <w:proofErr w:type="spellEnd"/>
      <w:r w:rsidRPr="00FC2685">
        <w:rPr>
          <w:rFonts w:ascii="Times New Roman" w:hAnsi="Times New Roman" w:cs="Times New Roman"/>
        </w:rPr>
        <w:t xml:space="preserve"> TMVR and redo SMVR, while</w:t>
      </w:r>
      <w:r w:rsidR="00FC2685" w:rsidRPr="00FC2685">
        <w:rPr>
          <w:rFonts w:ascii="Times New Roman" w:hAnsi="Times New Roman" w:cs="Times New Roman"/>
        </w:rPr>
        <w:t xml:space="preserve"> the</w:t>
      </w:r>
      <w:r w:rsidRPr="00FC2685">
        <w:rPr>
          <w:rFonts w:ascii="Times New Roman" w:hAnsi="Times New Roman" w:cs="Times New Roman"/>
        </w:rPr>
        <w:t xml:space="preserve"> peri-procedural complication</w:t>
      </w:r>
      <w:r w:rsidR="00FC2685">
        <w:rPr>
          <w:rFonts w:ascii="Times New Roman" w:hAnsi="Times New Roman" w:cs="Times New Roman"/>
        </w:rPr>
        <w:t>s</w:t>
      </w:r>
      <w:r w:rsidRPr="00FC2685">
        <w:rPr>
          <w:rFonts w:ascii="Times New Roman" w:hAnsi="Times New Roman" w:cs="Times New Roman"/>
        </w:rPr>
        <w:t xml:space="preserve"> </w:t>
      </w:r>
      <w:r w:rsidR="00FC2685" w:rsidRPr="00FC2685">
        <w:rPr>
          <w:rFonts w:ascii="Times New Roman" w:hAnsi="Times New Roman" w:cs="Times New Roman"/>
        </w:rPr>
        <w:t>were lower</w:t>
      </w:r>
      <w:r w:rsidRPr="00FC2685">
        <w:rPr>
          <w:rFonts w:ascii="Times New Roman" w:hAnsi="Times New Roman" w:cs="Times New Roman"/>
        </w:rPr>
        <w:t xml:space="preserve"> </w:t>
      </w:r>
      <w:r w:rsidR="00542040">
        <w:rPr>
          <w:rFonts w:ascii="Times New Roman" w:hAnsi="Times New Roman" w:cs="Times New Roman"/>
        </w:rPr>
        <w:t xml:space="preserve">among </w:t>
      </w:r>
      <w:proofErr w:type="spellStart"/>
      <w:r w:rsidRPr="00FC2685">
        <w:rPr>
          <w:rFonts w:ascii="Times New Roman" w:hAnsi="Times New Roman" w:cs="Times New Roman"/>
        </w:rPr>
        <w:t>ViV</w:t>
      </w:r>
      <w:proofErr w:type="spellEnd"/>
      <w:r w:rsidRPr="00FC2685">
        <w:rPr>
          <w:rFonts w:ascii="Times New Roman" w:hAnsi="Times New Roman" w:cs="Times New Roman"/>
        </w:rPr>
        <w:t xml:space="preserve"> TMVR group. </w:t>
      </w:r>
      <w:proofErr w:type="spellStart"/>
      <w:r w:rsidR="00542040">
        <w:rPr>
          <w:rFonts w:ascii="Times New Roman" w:hAnsi="Times New Roman" w:cs="Times New Roman"/>
        </w:rPr>
        <w:t>ViV</w:t>
      </w:r>
      <w:proofErr w:type="spellEnd"/>
      <w:r w:rsidR="00542040">
        <w:rPr>
          <w:rFonts w:ascii="Times New Roman" w:hAnsi="Times New Roman" w:cs="Times New Roman"/>
        </w:rPr>
        <w:t xml:space="preserve"> TMVR is a feasible option</w:t>
      </w:r>
      <w:r w:rsidR="00D1774F">
        <w:rPr>
          <w:rFonts w:ascii="Times New Roman" w:hAnsi="Times New Roman" w:cs="Times New Roman"/>
        </w:rPr>
        <w:t xml:space="preserve"> for selected patients with bioprosthetic mitral valve dysfunction and studies with long-term outcomes are needed.</w:t>
      </w:r>
    </w:p>
    <w:p w14:paraId="16D2D39B" w14:textId="310C94C9" w:rsidR="00B50FB9" w:rsidRDefault="00B50FB9" w:rsidP="00A7703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AB4B4B1" w14:textId="59D1EE8C" w:rsidR="00B50FB9" w:rsidRDefault="00B50FB9" w:rsidP="00A7703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116A5CC" w14:textId="784A6A03" w:rsidR="00B50FB9" w:rsidRDefault="00B50FB9" w:rsidP="00B50FB9">
      <w:pPr>
        <w:rPr>
          <w:rFonts w:ascii="Times New Roman" w:hAnsi="Times New Roman" w:cs="Times New Roman"/>
          <w:b/>
          <w:bCs/>
        </w:rPr>
      </w:pPr>
      <w:r w:rsidRPr="002106F8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1</w:t>
      </w:r>
      <w:r w:rsidRPr="002106F8">
        <w:rPr>
          <w:rFonts w:ascii="Times New Roman" w:hAnsi="Times New Roman" w:cs="Times New Roman"/>
          <w:b/>
          <w:bCs/>
        </w:rPr>
        <w:t>. Outcomes</w:t>
      </w:r>
    </w:p>
    <w:tbl>
      <w:tblPr>
        <w:tblStyle w:val="GridTable1Light-Accent3"/>
        <w:tblW w:w="7555" w:type="dxa"/>
        <w:tblLook w:val="04A0" w:firstRow="1" w:lastRow="0" w:firstColumn="1" w:lastColumn="0" w:noHBand="0" w:noVBand="1"/>
      </w:tblPr>
      <w:tblGrid>
        <w:gridCol w:w="2110"/>
        <w:gridCol w:w="1861"/>
        <w:gridCol w:w="1936"/>
        <w:gridCol w:w="1648"/>
      </w:tblGrid>
      <w:tr w:rsidR="00B50FB9" w:rsidRPr="002106F8" w14:paraId="00B146D4" w14:textId="77777777" w:rsidTr="00B5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755EEED5" w14:textId="77777777" w:rsidR="00B50FB9" w:rsidRPr="002106F8" w:rsidRDefault="00B50FB9" w:rsidP="007725F5">
            <w:pPr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Outcomes</w:t>
            </w:r>
          </w:p>
        </w:tc>
        <w:tc>
          <w:tcPr>
            <w:tcW w:w="1861" w:type="dxa"/>
          </w:tcPr>
          <w:p w14:paraId="55FD52D2" w14:textId="77777777" w:rsidR="00B50FB9" w:rsidRPr="002106F8" w:rsidRDefault="00B50FB9" w:rsidP="0077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M</w:t>
            </w:r>
            <w:r w:rsidRPr="002106F8">
              <w:rPr>
                <w:rFonts w:ascii="Times New Roman" w:hAnsi="Times New Roman" w:cs="Times New Roman"/>
              </w:rPr>
              <w:t>VR + h/o valve replacement</w:t>
            </w:r>
          </w:p>
          <w:p w14:paraId="725F1C6D" w14:textId="77777777" w:rsidR="00B50FB9" w:rsidRPr="002106F8" w:rsidRDefault="00B50FB9" w:rsidP="0077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5D26F25" w14:textId="77777777" w:rsidR="00B50FB9" w:rsidRPr="002106F8" w:rsidRDefault="00B50FB9" w:rsidP="0077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106F8">
              <w:rPr>
                <w:rFonts w:ascii="Times New Roman" w:hAnsi="Times New Roman" w:cs="Times New Roman"/>
              </w:rPr>
              <w:t>N=225</w:t>
            </w:r>
          </w:p>
        </w:tc>
        <w:tc>
          <w:tcPr>
            <w:tcW w:w="1936" w:type="dxa"/>
          </w:tcPr>
          <w:p w14:paraId="34FEA77F" w14:textId="77777777" w:rsidR="00B50FB9" w:rsidRPr="002106F8" w:rsidRDefault="00B50FB9" w:rsidP="0077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106F8">
              <w:rPr>
                <w:rFonts w:ascii="Times New Roman" w:hAnsi="Times New Roman" w:cs="Times New Roman"/>
              </w:rPr>
              <w:t>SMVR + h/o valve replacement</w:t>
            </w:r>
          </w:p>
          <w:p w14:paraId="286C90CD" w14:textId="77777777" w:rsidR="00B50FB9" w:rsidRPr="002106F8" w:rsidRDefault="00B50FB9" w:rsidP="0077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7FBBDE5" w14:textId="77777777" w:rsidR="00B50FB9" w:rsidRPr="002106F8" w:rsidRDefault="00B50FB9" w:rsidP="0077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106F8">
              <w:rPr>
                <w:rFonts w:ascii="Times New Roman" w:hAnsi="Times New Roman" w:cs="Times New Roman"/>
              </w:rPr>
              <w:t>N=1790</w:t>
            </w:r>
          </w:p>
        </w:tc>
        <w:tc>
          <w:tcPr>
            <w:tcW w:w="1648" w:type="dxa"/>
          </w:tcPr>
          <w:p w14:paraId="3FB0E796" w14:textId="77777777" w:rsidR="00B50FB9" w:rsidRPr="002106F8" w:rsidRDefault="00B50FB9" w:rsidP="0077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p-value</w:t>
            </w:r>
          </w:p>
        </w:tc>
      </w:tr>
      <w:tr w:rsidR="00B50FB9" w:rsidRPr="002106F8" w14:paraId="7AFA392B" w14:textId="77777777" w:rsidTr="00B50FB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2BF6E49F" w14:textId="77777777" w:rsidR="00B50FB9" w:rsidRPr="002106F8" w:rsidRDefault="00B50FB9" w:rsidP="007725F5">
            <w:pPr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All cause in hospital mortality, n (%)</w:t>
            </w:r>
          </w:p>
          <w:p w14:paraId="39AD64AE" w14:textId="77777777" w:rsidR="00B50FB9" w:rsidRPr="002106F8" w:rsidRDefault="00B50FB9" w:rsidP="0077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4BFC400A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8.89%</w:t>
            </w:r>
          </w:p>
        </w:tc>
        <w:tc>
          <w:tcPr>
            <w:tcW w:w="1936" w:type="dxa"/>
          </w:tcPr>
          <w:p w14:paraId="2731931B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7.26%</w:t>
            </w:r>
          </w:p>
        </w:tc>
        <w:tc>
          <w:tcPr>
            <w:tcW w:w="1648" w:type="dxa"/>
          </w:tcPr>
          <w:p w14:paraId="33E5339F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0.38</w:t>
            </w:r>
          </w:p>
        </w:tc>
      </w:tr>
      <w:tr w:rsidR="00B50FB9" w:rsidRPr="002106F8" w14:paraId="4BB17CCF" w14:textId="77777777" w:rsidTr="00B50FB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71DF4454" w14:textId="77777777" w:rsidR="00B50FB9" w:rsidRPr="002106F8" w:rsidRDefault="00B50FB9" w:rsidP="007725F5">
            <w:pPr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Major bleeding</w:t>
            </w:r>
          </w:p>
        </w:tc>
        <w:tc>
          <w:tcPr>
            <w:tcW w:w="1861" w:type="dxa"/>
          </w:tcPr>
          <w:p w14:paraId="1D4D35F7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6.67%</w:t>
            </w:r>
          </w:p>
        </w:tc>
        <w:tc>
          <w:tcPr>
            <w:tcW w:w="1936" w:type="dxa"/>
          </w:tcPr>
          <w:p w14:paraId="361C0A7D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11.45%</w:t>
            </w:r>
          </w:p>
        </w:tc>
        <w:tc>
          <w:tcPr>
            <w:tcW w:w="1648" w:type="dxa"/>
          </w:tcPr>
          <w:p w14:paraId="6CCB3B5E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0.03</w:t>
            </w:r>
          </w:p>
        </w:tc>
      </w:tr>
      <w:tr w:rsidR="00B50FB9" w:rsidRPr="002106F8" w14:paraId="14E86D3C" w14:textId="77777777" w:rsidTr="00B50FB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730DEE2F" w14:textId="77777777" w:rsidR="00B50FB9" w:rsidRPr="002106F8" w:rsidRDefault="00B50FB9" w:rsidP="007725F5">
            <w:pPr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Acute ischemic stroke</w:t>
            </w:r>
          </w:p>
        </w:tc>
        <w:tc>
          <w:tcPr>
            <w:tcW w:w="1861" w:type="dxa"/>
          </w:tcPr>
          <w:p w14:paraId="78776ADF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936" w:type="dxa"/>
          </w:tcPr>
          <w:p w14:paraId="184BD923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3.63%</w:t>
            </w:r>
          </w:p>
        </w:tc>
        <w:tc>
          <w:tcPr>
            <w:tcW w:w="1648" w:type="dxa"/>
          </w:tcPr>
          <w:p w14:paraId="30D5CB63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0.003</w:t>
            </w:r>
          </w:p>
        </w:tc>
      </w:tr>
      <w:tr w:rsidR="00B50FB9" w:rsidRPr="002106F8" w14:paraId="178A6257" w14:textId="77777777" w:rsidTr="00B50FB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33B3493A" w14:textId="77777777" w:rsidR="00B50FB9" w:rsidRPr="002106F8" w:rsidRDefault="00B50FB9" w:rsidP="007725F5">
            <w:pPr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 xml:space="preserve"> AKI</w:t>
            </w:r>
          </w:p>
        </w:tc>
        <w:tc>
          <w:tcPr>
            <w:tcW w:w="1861" w:type="dxa"/>
          </w:tcPr>
          <w:p w14:paraId="000CF2EB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24.44%</w:t>
            </w:r>
          </w:p>
        </w:tc>
        <w:tc>
          <w:tcPr>
            <w:tcW w:w="1936" w:type="dxa"/>
          </w:tcPr>
          <w:p w14:paraId="0BCFC15E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28.77%</w:t>
            </w:r>
          </w:p>
        </w:tc>
        <w:tc>
          <w:tcPr>
            <w:tcW w:w="1648" w:type="dxa"/>
          </w:tcPr>
          <w:p w14:paraId="3C39FC21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0.17</w:t>
            </w:r>
          </w:p>
        </w:tc>
      </w:tr>
      <w:tr w:rsidR="00B50FB9" w:rsidRPr="002106F8" w14:paraId="68F8D9BC" w14:textId="77777777" w:rsidTr="00B50FB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2014315B" w14:textId="77777777" w:rsidR="00B50FB9" w:rsidRPr="002106F8" w:rsidRDefault="00B50FB9" w:rsidP="007725F5">
            <w:pPr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Blood transfusion</w:t>
            </w:r>
          </w:p>
        </w:tc>
        <w:tc>
          <w:tcPr>
            <w:tcW w:w="1861" w:type="dxa"/>
          </w:tcPr>
          <w:p w14:paraId="41B6252F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11.11%</w:t>
            </w:r>
          </w:p>
        </w:tc>
        <w:tc>
          <w:tcPr>
            <w:tcW w:w="1936" w:type="dxa"/>
          </w:tcPr>
          <w:p w14:paraId="03BD4D9A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29.33%</w:t>
            </w:r>
          </w:p>
        </w:tc>
        <w:tc>
          <w:tcPr>
            <w:tcW w:w="1648" w:type="dxa"/>
          </w:tcPr>
          <w:p w14:paraId="1056B20A" w14:textId="77777777" w:rsidR="00B50FB9" w:rsidRPr="002106F8" w:rsidRDefault="00B50FB9" w:rsidP="0077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6F8">
              <w:rPr>
                <w:rFonts w:ascii="Times New Roman" w:hAnsi="Times New Roman" w:cs="Times New Roman"/>
              </w:rPr>
              <w:t>&lt;0.0001</w:t>
            </w:r>
          </w:p>
        </w:tc>
      </w:tr>
    </w:tbl>
    <w:p w14:paraId="2CAD9908" w14:textId="77777777" w:rsidR="00B50FB9" w:rsidRPr="002106F8" w:rsidRDefault="00B50FB9" w:rsidP="00B50FB9">
      <w:pPr>
        <w:rPr>
          <w:rFonts w:ascii="Times New Roman" w:hAnsi="Times New Roman" w:cs="Times New Roman"/>
        </w:rPr>
      </w:pPr>
      <w:r w:rsidRPr="002106F8">
        <w:rPr>
          <w:rFonts w:ascii="Times New Roman" w:hAnsi="Times New Roman" w:cs="Times New Roman"/>
        </w:rPr>
        <w:t xml:space="preserve">P value &lt;0.05 indicates clinical significance. </w:t>
      </w:r>
    </w:p>
    <w:p w14:paraId="2D542B87" w14:textId="77777777" w:rsidR="00B50FB9" w:rsidRPr="00B50FB9" w:rsidRDefault="00B50FB9" w:rsidP="00A7703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67D2528" w14:textId="77777777" w:rsidR="00A77031" w:rsidRPr="00A77031" w:rsidRDefault="00A77031" w:rsidP="00A7703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07D9A1A" w14:textId="77777777" w:rsidR="00962F05" w:rsidRPr="00A77031" w:rsidRDefault="00962F05" w:rsidP="00A77031">
      <w:pPr>
        <w:spacing w:line="360" w:lineRule="auto"/>
        <w:rPr>
          <w:rFonts w:ascii="Times New Roman" w:hAnsi="Times New Roman" w:cs="Times New Roman"/>
        </w:rPr>
      </w:pPr>
    </w:p>
    <w:sectPr w:rsidR="00962F05" w:rsidRPr="00A7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A0"/>
    <w:rsid w:val="00003B2F"/>
    <w:rsid w:val="00023EE4"/>
    <w:rsid w:val="00032DFF"/>
    <w:rsid w:val="00036AE0"/>
    <w:rsid w:val="00053B28"/>
    <w:rsid w:val="00061397"/>
    <w:rsid w:val="000842A4"/>
    <w:rsid w:val="00086567"/>
    <w:rsid w:val="00097145"/>
    <w:rsid w:val="000A0257"/>
    <w:rsid w:val="000A186D"/>
    <w:rsid w:val="000A6A0A"/>
    <w:rsid w:val="000B0A78"/>
    <w:rsid w:val="000B0EB5"/>
    <w:rsid w:val="000C4C91"/>
    <w:rsid w:val="000D4D35"/>
    <w:rsid w:val="000E6525"/>
    <w:rsid w:val="000E6B78"/>
    <w:rsid w:val="0010103B"/>
    <w:rsid w:val="00113593"/>
    <w:rsid w:val="00114A9A"/>
    <w:rsid w:val="00114F19"/>
    <w:rsid w:val="00116DCF"/>
    <w:rsid w:val="00121D8D"/>
    <w:rsid w:val="00151C30"/>
    <w:rsid w:val="00164C76"/>
    <w:rsid w:val="00170A49"/>
    <w:rsid w:val="00173BCD"/>
    <w:rsid w:val="00174D94"/>
    <w:rsid w:val="001772E1"/>
    <w:rsid w:val="00184082"/>
    <w:rsid w:val="00186659"/>
    <w:rsid w:val="00191BDD"/>
    <w:rsid w:val="00192386"/>
    <w:rsid w:val="0019355D"/>
    <w:rsid w:val="00193708"/>
    <w:rsid w:val="001957CA"/>
    <w:rsid w:val="001B46AC"/>
    <w:rsid w:val="001D448D"/>
    <w:rsid w:val="001D5553"/>
    <w:rsid w:val="001D5AA1"/>
    <w:rsid w:val="001E1907"/>
    <w:rsid w:val="001E505D"/>
    <w:rsid w:val="001E6B4F"/>
    <w:rsid w:val="001F4C91"/>
    <w:rsid w:val="001F5D18"/>
    <w:rsid w:val="001F6047"/>
    <w:rsid w:val="002020CC"/>
    <w:rsid w:val="00207B06"/>
    <w:rsid w:val="002103BA"/>
    <w:rsid w:val="00222A11"/>
    <w:rsid w:val="002246C2"/>
    <w:rsid w:val="00225660"/>
    <w:rsid w:val="002311CC"/>
    <w:rsid w:val="002331D1"/>
    <w:rsid w:val="00236C74"/>
    <w:rsid w:val="00244CEF"/>
    <w:rsid w:val="00252440"/>
    <w:rsid w:val="002531D9"/>
    <w:rsid w:val="00256D90"/>
    <w:rsid w:val="00257FE2"/>
    <w:rsid w:val="00260C87"/>
    <w:rsid w:val="00262F80"/>
    <w:rsid w:val="0027257F"/>
    <w:rsid w:val="00276743"/>
    <w:rsid w:val="002772A7"/>
    <w:rsid w:val="00283354"/>
    <w:rsid w:val="00283EB0"/>
    <w:rsid w:val="00286788"/>
    <w:rsid w:val="002905DF"/>
    <w:rsid w:val="00293F62"/>
    <w:rsid w:val="00297D0A"/>
    <w:rsid w:val="002A4C02"/>
    <w:rsid w:val="002A50EA"/>
    <w:rsid w:val="002B02F0"/>
    <w:rsid w:val="002B690C"/>
    <w:rsid w:val="002C3FA0"/>
    <w:rsid w:val="002C70AD"/>
    <w:rsid w:val="002D7E6B"/>
    <w:rsid w:val="002E4535"/>
    <w:rsid w:val="002E783D"/>
    <w:rsid w:val="002E7E32"/>
    <w:rsid w:val="002F4BA6"/>
    <w:rsid w:val="002F645E"/>
    <w:rsid w:val="00300DDE"/>
    <w:rsid w:val="00306898"/>
    <w:rsid w:val="00311D9A"/>
    <w:rsid w:val="00325838"/>
    <w:rsid w:val="003279E3"/>
    <w:rsid w:val="0033175B"/>
    <w:rsid w:val="00335C1B"/>
    <w:rsid w:val="003362D5"/>
    <w:rsid w:val="00340A41"/>
    <w:rsid w:val="00346379"/>
    <w:rsid w:val="00351179"/>
    <w:rsid w:val="00355647"/>
    <w:rsid w:val="00357EB0"/>
    <w:rsid w:val="00363561"/>
    <w:rsid w:val="00370DDB"/>
    <w:rsid w:val="003749D7"/>
    <w:rsid w:val="00374CB6"/>
    <w:rsid w:val="00375D85"/>
    <w:rsid w:val="00380FDA"/>
    <w:rsid w:val="00385463"/>
    <w:rsid w:val="00387651"/>
    <w:rsid w:val="0039301E"/>
    <w:rsid w:val="003A46B6"/>
    <w:rsid w:val="003E0D58"/>
    <w:rsid w:val="003E3610"/>
    <w:rsid w:val="003E3DA0"/>
    <w:rsid w:val="003E3E24"/>
    <w:rsid w:val="003F0915"/>
    <w:rsid w:val="003F3AB8"/>
    <w:rsid w:val="003F5DEA"/>
    <w:rsid w:val="003F64C9"/>
    <w:rsid w:val="003F7B49"/>
    <w:rsid w:val="00400727"/>
    <w:rsid w:val="004026BC"/>
    <w:rsid w:val="004129C7"/>
    <w:rsid w:val="00414526"/>
    <w:rsid w:val="004253D9"/>
    <w:rsid w:val="00432593"/>
    <w:rsid w:val="004339F1"/>
    <w:rsid w:val="00436F7C"/>
    <w:rsid w:val="00445D7D"/>
    <w:rsid w:val="00445E26"/>
    <w:rsid w:val="00447065"/>
    <w:rsid w:val="0045053B"/>
    <w:rsid w:val="004519E7"/>
    <w:rsid w:val="0046417C"/>
    <w:rsid w:val="0046580E"/>
    <w:rsid w:val="00466AB6"/>
    <w:rsid w:val="00472095"/>
    <w:rsid w:val="00472999"/>
    <w:rsid w:val="00474CAF"/>
    <w:rsid w:val="00477F49"/>
    <w:rsid w:val="00480C09"/>
    <w:rsid w:val="00486AC4"/>
    <w:rsid w:val="00492920"/>
    <w:rsid w:val="004A1103"/>
    <w:rsid w:val="004A32CE"/>
    <w:rsid w:val="004A48BE"/>
    <w:rsid w:val="004A4933"/>
    <w:rsid w:val="004A5CCB"/>
    <w:rsid w:val="004A603E"/>
    <w:rsid w:val="004B1246"/>
    <w:rsid w:val="004B18AD"/>
    <w:rsid w:val="004B675C"/>
    <w:rsid w:val="004C5908"/>
    <w:rsid w:val="004D7AE5"/>
    <w:rsid w:val="004E02D1"/>
    <w:rsid w:val="004E047E"/>
    <w:rsid w:val="004E1FA5"/>
    <w:rsid w:val="004E2765"/>
    <w:rsid w:val="004E5541"/>
    <w:rsid w:val="004F38BD"/>
    <w:rsid w:val="004F41B3"/>
    <w:rsid w:val="004F47CE"/>
    <w:rsid w:val="004F5307"/>
    <w:rsid w:val="004F7FEC"/>
    <w:rsid w:val="00501EDA"/>
    <w:rsid w:val="0050446E"/>
    <w:rsid w:val="005059DD"/>
    <w:rsid w:val="00510CE8"/>
    <w:rsid w:val="00514E1B"/>
    <w:rsid w:val="00517A03"/>
    <w:rsid w:val="005278FE"/>
    <w:rsid w:val="00537716"/>
    <w:rsid w:val="00542040"/>
    <w:rsid w:val="00543DDD"/>
    <w:rsid w:val="00546999"/>
    <w:rsid w:val="00551178"/>
    <w:rsid w:val="00553D96"/>
    <w:rsid w:val="00553F94"/>
    <w:rsid w:val="00556306"/>
    <w:rsid w:val="00557209"/>
    <w:rsid w:val="00560F39"/>
    <w:rsid w:val="005616F3"/>
    <w:rsid w:val="00562193"/>
    <w:rsid w:val="005633BF"/>
    <w:rsid w:val="00567713"/>
    <w:rsid w:val="00572023"/>
    <w:rsid w:val="00573A77"/>
    <w:rsid w:val="00576537"/>
    <w:rsid w:val="005A4002"/>
    <w:rsid w:val="005A773B"/>
    <w:rsid w:val="005B5DF4"/>
    <w:rsid w:val="005D130C"/>
    <w:rsid w:val="005E608D"/>
    <w:rsid w:val="005E6714"/>
    <w:rsid w:val="006066AD"/>
    <w:rsid w:val="00611E4E"/>
    <w:rsid w:val="00616469"/>
    <w:rsid w:val="0062119D"/>
    <w:rsid w:val="00621F94"/>
    <w:rsid w:val="0062284E"/>
    <w:rsid w:val="006245CD"/>
    <w:rsid w:val="00632E5B"/>
    <w:rsid w:val="006336DA"/>
    <w:rsid w:val="00634032"/>
    <w:rsid w:val="0063622A"/>
    <w:rsid w:val="00651A82"/>
    <w:rsid w:val="006565E7"/>
    <w:rsid w:val="00662603"/>
    <w:rsid w:val="00664871"/>
    <w:rsid w:val="00666A37"/>
    <w:rsid w:val="00673DD1"/>
    <w:rsid w:val="00674291"/>
    <w:rsid w:val="00677848"/>
    <w:rsid w:val="00677FF0"/>
    <w:rsid w:val="0068025F"/>
    <w:rsid w:val="00680B65"/>
    <w:rsid w:val="00682639"/>
    <w:rsid w:val="00683E72"/>
    <w:rsid w:val="00684EA7"/>
    <w:rsid w:val="0068507B"/>
    <w:rsid w:val="00685D69"/>
    <w:rsid w:val="00692A46"/>
    <w:rsid w:val="006B0B51"/>
    <w:rsid w:val="006B4C63"/>
    <w:rsid w:val="006C0B85"/>
    <w:rsid w:val="006C0E1F"/>
    <w:rsid w:val="006C11EE"/>
    <w:rsid w:val="006C4A00"/>
    <w:rsid w:val="006C6E0F"/>
    <w:rsid w:val="006D0347"/>
    <w:rsid w:val="006E37D0"/>
    <w:rsid w:val="006E4790"/>
    <w:rsid w:val="006E4A83"/>
    <w:rsid w:val="006E7A9B"/>
    <w:rsid w:val="006F7418"/>
    <w:rsid w:val="006F746B"/>
    <w:rsid w:val="00701197"/>
    <w:rsid w:val="00704D42"/>
    <w:rsid w:val="0071767E"/>
    <w:rsid w:val="007211BB"/>
    <w:rsid w:val="00724EDF"/>
    <w:rsid w:val="007254E1"/>
    <w:rsid w:val="00726CA5"/>
    <w:rsid w:val="00727D1A"/>
    <w:rsid w:val="007346B0"/>
    <w:rsid w:val="007349D9"/>
    <w:rsid w:val="007405B3"/>
    <w:rsid w:val="00741956"/>
    <w:rsid w:val="00745131"/>
    <w:rsid w:val="00753911"/>
    <w:rsid w:val="0076399C"/>
    <w:rsid w:val="00770823"/>
    <w:rsid w:val="00772E06"/>
    <w:rsid w:val="007746DA"/>
    <w:rsid w:val="00781EF5"/>
    <w:rsid w:val="00784157"/>
    <w:rsid w:val="007869B2"/>
    <w:rsid w:val="007A428C"/>
    <w:rsid w:val="007A4BAA"/>
    <w:rsid w:val="007B03A4"/>
    <w:rsid w:val="007B6A15"/>
    <w:rsid w:val="007B773E"/>
    <w:rsid w:val="007C1086"/>
    <w:rsid w:val="007C5045"/>
    <w:rsid w:val="007C5B77"/>
    <w:rsid w:val="007C7E3D"/>
    <w:rsid w:val="007D17F6"/>
    <w:rsid w:val="007E4A0D"/>
    <w:rsid w:val="007E5536"/>
    <w:rsid w:val="007F5C31"/>
    <w:rsid w:val="008121C6"/>
    <w:rsid w:val="0081220F"/>
    <w:rsid w:val="00814418"/>
    <w:rsid w:val="00815CB6"/>
    <w:rsid w:val="008171B0"/>
    <w:rsid w:val="00822462"/>
    <w:rsid w:val="0083398B"/>
    <w:rsid w:val="008366F9"/>
    <w:rsid w:val="00843E10"/>
    <w:rsid w:val="008555BE"/>
    <w:rsid w:val="00860D1A"/>
    <w:rsid w:val="008651AE"/>
    <w:rsid w:val="00866CC8"/>
    <w:rsid w:val="008709F2"/>
    <w:rsid w:val="00881C1A"/>
    <w:rsid w:val="00885174"/>
    <w:rsid w:val="008902BF"/>
    <w:rsid w:val="008A4122"/>
    <w:rsid w:val="008A6A3C"/>
    <w:rsid w:val="008A70A0"/>
    <w:rsid w:val="008C3C24"/>
    <w:rsid w:val="008C5623"/>
    <w:rsid w:val="008C5AD3"/>
    <w:rsid w:val="008C7DC9"/>
    <w:rsid w:val="008E6799"/>
    <w:rsid w:val="008E76C0"/>
    <w:rsid w:val="008F097F"/>
    <w:rsid w:val="008F16FC"/>
    <w:rsid w:val="008F57E5"/>
    <w:rsid w:val="00901DDC"/>
    <w:rsid w:val="00902D99"/>
    <w:rsid w:val="00906A12"/>
    <w:rsid w:val="0091553E"/>
    <w:rsid w:val="00923C93"/>
    <w:rsid w:val="0092482E"/>
    <w:rsid w:val="00925062"/>
    <w:rsid w:val="00927343"/>
    <w:rsid w:val="00933043"/>
    <w:rsid w:val="00935D15"/>
    <w:rsid w:val="00935E43"/>
    <w:rsid w:val="009365A0"/>
    <w:rsid w:val="00942100"/>
    <w:rsid w:val="0095062E"/>
    <w:rsid w:val="0095551E"/>
    <w:rsid w:val="0095723B"/>
    <w:rsid w:val="009576BD"/>
    <w:rsid w:val="00960C06"/>
    <w:rsid w:val="0096232A"/>
    <w:rsid w:val="00962F05"/>
    <w:rsid w:val="00967B39"/>
    <w:rsid w:val="00971C1D"/>
    <w:rsid w:val="00972706"/>
    <w:rsid w:val="00984A8E"/>
    <w:rsid w:val="00985658"/>
    <w:rsid w:val="009860EC"/>
    <w:rsid w:val="0099176A"/>
    <w:rsid w:val="00992D76"/>
    <w:rsid w:val="00995E76"/>
    <w:rsid w:val="009A1128"/>
    <w:rsid w:val="009A4D5C"/>
    <w:rsid w:val="009A7B7D"/>
    <w:rsid w:val="009B07FB"/>
    <w:rsid w:val="009B6254"/>
    <w:rsid w:val="009B6F14"/>
    <w:rsid w:val="009C30AC"/>
    <w:rsid w:val="009C3BEF"/>
    <w:rsid w:val="009E1179"/>
    <w:rsid w:val="009E591D"/>
    <w:rsid w:val="009F073F"/>
    <w:rsid w:val="009F2FAB"/>
    <w:rsid w:val="00A01582"/>
    <w:rsid w:val="00A11C56"/>
    <w:rsid w:val="00A11E86"/>
    <w:rsid w:val="00A14E0C"/>
    <w:rsid w:val="00A154F0"/>
    <w:rsid w:val="00A15F6C"/>
    <w:rsid w:val="00A3060C"/>
    <w:rsid w:val="00A326BA"/>
    <w:rsid w:val="00A34C6F"/>
    <w:rsid w:val="00A40BEB"/>
    <w:rsid w:val="00A41434"/>
    <w:rsid w:val="00A44F8B"/>
    <w:rsid w:val="00A457F4"/>
    <w:rsid w:val="00A51962"/>
    <w:rsid w:val="00A562BC"/>
    <w:rsid w:val="00A601C1"/>
    <w:rsid w:val="00A72E65"/>
    <w:rsid w:val="00A76303"/>
    <w:rsid w:val="00A77031"/>
    <w:rsid w:val="00A8659C"/>
    <w:rsid w:val="00A912D1"/>
    <w:rsid w:val="00A916F3"/>
    <w:rsid w:val="00A924C7"/>
    <w:rsid w:val="00A9559B"/>
    <w:rsid w:val="00A96E63"/>
    <w:rsid w:val="00A97E4B"/>
    <w:rsid w:val="00AA2166"/>
    <w:rsid w:val="00AA57CB"/>
    <w:rsid w:val="00AB1E30"/>
    <w:rsid w:val="00AB2175"/>
    <w:rsid w:val="00AB571A"/>
    <w:rsid w:val="00AB6E27"/>
    <w:rsid w:val="00AB6F67"/>
    <w:rsid w:val="00AD37E6"/>
    <w:rsid w:val="00AD4A17"/>
    <w:rsid w:val="00AD5F31"/>
    <w:rsid w:val="00AF4426"/>
    <w:rsid w:val="00B033BB"/>
    <w:rsid w:val="00B10538"/>
    <w:rsid w:val="00B1604D"/>
    <w:rsid w:val="00B1713A"/>
    <w:rsid w:val="00B22EE7"/>
    <w:rsid w:val="00B27A59"/>
    <w:rsid w:val="00B31656"/>
    <w:rsid w:val="00B3674C"/>
    <w:rsid w:val="00B452C5"/>
    <w:rsid w:val="00B50880"/>
    <w:rsid w:val="00B50FB9"/>
    <w:rsid w:val="00B5284E"/>
    <w:rsid w:val="00B55C9C"/>
    <w:rsid w:val="00B57E0E"/>
    <w:rsid w:val="00B609D0"/>
    <w:rsid w:val="00B8260C"/>
    <w:rsid w:val="00B84801"/>
    <w:rsid w:val="00B947A7"/>
    <w:rsid w:val="00BA07C4"/>
    <w:rsid w:val="00BA07EB"/>
    <w:rsid w:val="00BB1CE4"/>
    <w:rsid w:val="00BB5F4D"/>
    <w:rsid w:val="00BC1338"/>
    <w:rsid w:val="00BC35F6"/>
    <w:rsid w:val="00BE107B"/>
    <w:rsid w:val="00BE223D"/>
    <w:rsid w:val="00BE22CB"/>
    <w:rsid w:val="00BF2075"/>
    <w:rsid w:val="00BF7777"/>
    <w:rsid w:val="00BF7BE6"/>
    <w:rsid w:val="00C0013E"/>
    <w:rsid w:val="00C0372B"/>
    <w:rsid w:val="00C06E9E"/>
    <w:rsid w:val="00C104D9"/>
    <w:rsid w:val="00C106BC"/>
    <w:rsid w:val="00C14CB6"/>
    <w:rsid w:val="00C20326"/>
    <w:rsid w:val="00C237AC"/>
    <w:rsid w:val="00C27E94"/>
    <w:rsid w:val="00C30D24"/>
    <w:rsid w:val="00C32F16"/>
    <w:rsid w:val="00C35279"/>
    <w:rsid w:val="00C36393"/>
    <w:rsid w:val="00C36681"/>
    <w:rsid w:val="00C452BA"/>
    <w:rsid w:val="00C50183"/>
    <w:rsid w:val="00C55145"/>
    <w:rsid w:val="00C55E9C"/>
    <w:rsid w:val="00C56B23"/>
    <w:rsid w:val="00C722C8"/>
    <w:rsid w:val="00C7553C"/>
    <w:rsid w:val="00C9747D"/>
    <w:rsid w:val="00C97D2C"/>
    <w:rsid w:val="00C97FBD"/>
    <w:rsid w:val="00CB7930"/>
    <w:rsid w:val="00CD1B27"/>
    <w:rsid w:val="00CD1C07"/>
    <w:rsid w:val="00CD5059"/>
    <w:rsid w:val="00CD62F3"/>
    <w:rsid w:val="00CE508F"/>
    <w:rsid w:val="00CF74B7"/>
    <w:rsid w:val="00CF79F2"/>
    <w:rsid w:val="00D01210"/>
    <w:rsid w:val="00D06B08"/>
    <w:rsid w:val="00D16AC1"/>
    <w:rsid w:val="00D1774F"/>
    <w:rsid w:val="00D25F25"/>
    <w:rsid w:val="00D3042C"/>
    <w:rsid w:val="00D409BF"/>
    <w:rsid w:val="00D41B33"/>
    <w:rsid w:val="00D448CF"/>
    <w:rsid w:val="00D45AA6"/>
    <w:rsid w:val="00D466EA"/>
    <w:rsid w:val="00D468D2"/>
    <w:rsid w:val="00D4713B"/>
    <w:rsid w:val="00D55F63"/>
    <w:rsid w:val="00D67D3E"/>
    <w:rsid w:val="00D722A8"/>
    <w:rsid w:val="00D74147"/>
    <w:rsid w:val="00D77CCC"/>
    <w:rsid w:val="00D8712A"/>
    <w:rsid w:val="00DA6868"/>
    <w:rsid w:val="00DB5D7C"/>
    <w:rsid w:val="00DC56AC"/>
    <w:rsid w:val="00DC74F6"/>
    <w:rsid w:val="00DF3882"/>
    <w:rsid w:val="00E04F4E"/>
    <w:rsid w:val="00E0541A"/>
    <w:rsid w:val="00E06392"/>
    <w:rsid w:val="00E0738D"/>
    <w:rsid w:val="00E12472"/>
    <w:rsid w:val="00E124B8"/>
    <w:rsid w:val="00E12D5D"/>
    <w:rsid w:val="00E369D1"/>
    <w:rsid w:val="00E37A1C"/>
    <w:rsid w:val="00E418F9"/>
    <w:rsid w:val="00E532AB"/>
    <w:rsid w:val="00E56112"/>
    <w:rsid w:val="00E9026B"/>
    <w:rsid w:val="00E90944"/>
    <w:rsid w:val="00E92DFE"/>
    <w:rsid w:val="00EA3DF4"/>
    <w:rsid w:val="00EA5034"/>
    <w:rsid w:val="00EA5EBF"/>
    <w:rsid w:val="00EB2BEA"/>
    <w:rsid w:val="00EC0FA0"/>
    <w:rsid w:val="00EC1A46"/>
    <w:rsid w:val="00EC1F2B"/>
    <w:rsid w:val="00EC48B6"/>
    <w:rsid w:val="00EC6D86"/>
    <w:rsid w:val="00ED17C6"/>
    <w:rsid w:val="00EE0E0B"/>
    <w:rsid w:val="00EE0E88"/>
    <w:rsid w:val="00EE674D"/>
    <w:rsid w:val="00EF1ACA"/>
    <w:rsid w:val="00EF4D1C"/>
    <w:rsid w:val="00F00166"/>
    <w:rsid w:val="00F02BFB"/>
    <w:rsid w:val="00F04D12"/>
    <w:rsid w:val="00F12A46"/>
    <w:rsid w:val="00F1736D"/>
    <w:rsid w:val="00F21B4A"/>
    <w:rsid w:val="00F25678"/>
    <w:rsid w:val="00F413CD"/>
    <w:rsid w:val="00F43C96"/>
    <w:rsid w:val="00F44CD8"/>
    <w:rsid w:val="00F44FC4"/>
    <w:rsid w:val="00F4685D"/>
    <w:rsid w:val="00F554E6"/>
    <w:rsid w:val="00F55CB8"/>
    <w:rsid w:val="00F66083"/>
    <w:rsid w:val="00F673BB"/>
    <w:rsid w:val="00F750DC"/>
    <w:rsid w:val="00F87C10"/>
    <w:rsid w:val="00FA3B13"/>
    <w:rsid w:val="00FB1B87"/>
    <w:rsid w:val="00FC2685"/>
    <w:rsid w:val="00FC6972"/>
    <w:rsid w:val="00FC780B"/>
    <w:rsid w:val="00FD4F8D"/>
    <w:rsid w:val="00FD79EB"/>
    <w:rsid w:val="00FD7BCE"/>
    <w:rsid w:val="00FF01B8"/>
    <w:rsid w:val="00FF0B7F"/>
    <w:rsid w:val="00FF555B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0E6A"/>
  <w15:chartTrackingRefBased/>
  <w15:docId w15:val="{449758B7-39F1-46FB-9A4A-CF2DC815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B50FB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Thandra, Abhishek</dc:creator>
  <cp:keywords/>
  <dc:description/>
  <cp:lastModifiedBy>Thandra, Abhishek</cp:lastModifiedBy>
  <cp:revision>8</cp:revision>
  <dcterms:created xsi:type="dcterms:W3CDTF">2021-09-13T22:31:00Z</dcterms:created>
  <dcterms:modified xsi:type="dcterms:W3CDTF">2021-09-14T03:36:00Z</dcterms:modified>
</cp:coreProperties>
</file>