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9F19" w14:textId="77777777" w:rsidR="004C3759" w:rsidRPr="00916CFC" w:rsidRDefault="004C3759" w:rsidP="00B466DF">
      <w:pPr>
        <w:autoSpaceDE w:val="0"/>
        <w:autoSpaceDN w:val="0"/>
        <w:adjustRightInd w:val="0"/>
        <w:jc w:val="center"/>
        <w:rPr>
          <w:rFonts w:cstheme="majorBidi"/>
          <w:b/>
          <w:bCs/>
          <w:sz w:val="28"/>
          <w:szCs w:val="28"/>
        </w:rPr>
      </w:pPr>
    </w:p>
    <w:p w14:paraId="770CE7F8" w14:textId="653849E1" w:rsidR="00B466DF" w:rsidRPr="00916CFC" w:rsidRDefault="009B3303" w:rsidP="00B466DF">
      <w:pPr>
        <w:autoSpaceDE w:val="0"/>
        <w:autoSpaceDN w:val="0"/>
        <w:adjustRightInd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t>Effect of Ticagrelor on M</w:t>
      </w:r>
      <w:r w:rsidR="004C3759" w:rsidRPr="00916CFC">
        <w:rPr>
          <w:rFonts w:cstheme="majorBidi"/>
          <w:b/>
          <w:bCs/>
          <w:sz w:val="28"/>
          <w:szCs w:val="28"/>
        </w:rPr>
        <w:t xml:space="preserve">icrovascular </w:t>
      </w:r>
      <w:r>
        <w:rPr>
          <w:rFonts w:cstheme="majorBidi"/>
          <w:b/>
          <w:bCs/>
          <w:sz w:val="28"/>
          <w:szCs w:val="28"/>
        </w:rPr>
        <w:t>D</w:t>
      </w:r>
      <w:r w:rsidR="004C3759" w:rsidRPr="00916CFC">
        <w:rPr>
          <w:rFonts w:cstheme="majorBidi"/>
          <w:b/>
          <w:bCs/>
          <w:sz w:val="28"/>
          <w:szCs w:val="28"/>
        </w:rPr>
        <w:t xml:space="preserve">ysfunction </w:t>
      </w:r>
      <w:r>
        <w:rPr>
          <w:rFonts w:cstheme="majorBidi"/>
          <w:b/>
          <w:bCs/>
          <w:sz w:val="28"/>
          <w:szCs w:val="28"/>
        </w:rPr>
        <w:t>in</w:t>
      </w:r>
      <w:r w:rsidRPr="00916CFC">
        <w:rPr>
          <w:rFonts w:cstheme="majorBidi"/>
          <w:b/>
          <w:bCs/>
          <w:sz w:val="28"/>
          <w:szCs w:val="28"/>
        </w:rPr>
        <w:t xml:space="preserve"> </w:t>
      </w:r>
      <w:r>
        <w:rPr>
          <w:rFonts w:cstheme="majorBidi"/>
          <w:b/>
          <w:bCs/>
          <w:sz w:val="28"/>
          <w:szCs w:val="28"/>
        </w:rPr>
        <w:t>P</w:t>
      </w:r>
      <w:r w:rsidR="004C3759" w:rsidRPr="00916CFC">
        <w:rPr>
          <w:rFonts w:cstheme="majorBidi"/>
          <w:b/>
          <w:bCs/>
          <w:sz w:val="28"/>
          <w:szCs w:val="28"/>
        </w:rPr>
        <w:t>atients</w:t>
      </w:r>
      <w:r w:rsidR="00717FDD">
        <w:rPr>
          <w:rFonts w:cstheme="majorBidi"/>
          <w:b/>
          <w:bCs/>
          <w:sz w:val="28"/>
          <w:szCs w:val="28"/>
        </w:rPr>
        <w:t xml:space="preserve"> with </w:t>
      </w:r>
      <w:r>
        <w:rPr>
          <w:rFonts w:cstheme="majorBidi"/>
          <w:b/>
          <w:bCs/>
          <w:sz w:val="28"/>
          <w:szCs w:val="28"/>
        </w:rPr>
        <w:t>Coronary Artery Disease Including Acute Coronary Syndrome</w:t>
      </w:r>
      <w:r w:rsidR="00B466DF" w:rsidRPr="00916CFC">
        <w:rPr>
          <w:rFonts w:cstheme="majorBidi"/>
          <w:b/>
          <w:bCs/>
          <w:sz w:val="28"/>
          <w:szCs w:val="28"/>
        </w:rPr>
        <w:t>: a Systematic Review and Meta-analysis</w:t>
      </w:r>
    </w:p>
    <w:p w14:paraId="7A85C46B" w14:textId="77777777" w:rsidR="00E34845" w:rsidRPr="00916CFC" w:rsidRDefault="00E34845" w:rsidP="00B466DF">
      <w:pPr>
        <w:jc w:val="center"/>
        <w:rPr>
          <w:rFonts w:eastAsia="Times New Roman" w:cstheme="majorBidi"/>
          <w:color w:val="1C1D1E"/>
          <w:sz w:val="18"/>
          <w:szCs w:val="18"/>
          <w:shd w:val="clear" w:color="auto" w:fill="FFFFFF"/>
        </w:rPr>
      </w:pPr>
    </w:p>
    <w:p w14:paraId="4836CAFA" w14:textId="408868CE" w:rsidR="00B466DF" w:rsidRPr="00916CFC" w:rsidRDefault="007206EF" w:rsidP="00B466DF">
      <w:pPr>
        <w:jc w:val="center"/>
        <w:rPr>
          <w:rFonts w:eastAsia="Times New Roman" w:cstheme="majorBidi"/>
          <w:color w:val="222222"/>
          <w:sz w:val="18"/>
          <w:szCs w:val="18"/>
          <w:shd w:val="clear" w:color="auto" w:fill="FFFFFF"/>
          <w:vertAlign w:val="superscript"/>
        </w:rPr>
      </w:pPr>
      <w:r w:rsidRPr="00916CFC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>Qais Radaideh</w:t>
      </w:r>
      <w:r w:rsidR="00B12AA4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 xml:space="preserve"> MD MS</w:t>
      </w:r>
      <w:r w:rsidRPr="00916CFC">
        <w:rPr>
          <w:rFonts w:eastAsia="Times New Roman" w:cstheme="majorBidi"/>
          <w:color w:val="222222"/>
          <w:sz w:val="18"/>
          <w:szCs w:val="18"/>
          <w:shd w:val="clear" w:color="auto" w:fill="FFFFFF"/>
          <w:vertAlign w:val="superscript"/>
        </w:rPr>
        <w:t>1</w:t>
      </w:r>
      <w:r w:rsidRPr="00916CFC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 xml:space="preserve">, </w:t>
      </w:r>
      <w:r w:rsidR="00B466DF" w:rsidRPr="00916CFC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Waiel Abusnina</w:t>
      </w:r>
      <w:r w:rsidR="00B12AA4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 xml:space="preserve"> MD</w:t>
      </w:r>
      <w:r w:rsidR="00B466DF" w:rsidRPr="00916CFC">
        <w:rPr>
          <w:rFonts w:eastAsia="Times New Roman" w:cstheme="majorBidi"/>
          <w:color w:val="1C1D1E"/>
          <w:sz w:val="18"/>
          <w:szCs w:val="18"/>
          <w:shd w:val="clear" w:color="auto" w:fill="FFFFFF"/>
          <w:vertAlign w:val="superscript"/>
        </w:rPr>
        <w:t>1</w:t>
      </w:r>
      <w:r w:rsidR="00B466DF" w:rsidRPr="00916CFC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, Ahmad Al-abdouh</w:t>
      </w:r>
      <w:r w:rsidR="00B12AA4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 xml:space="preserve"> MD</w:t>
      </w:r>
      <w:r w:rsidR="00B466DF" w:rsidRPr="00916CFC">
        <w:rPr>
          <w:rFonts w:eastAsia="Times New Roman" w:cstheme="majorBidi"/>
          <w:color w:val="1C1D1E"/>
          <w:sz w:val="18"/>
          <w:szCs w:val="18"/>
          <w:shd w:val="clear" w:color="auto" w:fill="FFFFFF"/>
          <w:vertAlign w:val="superscript"/>
        </w:rPr>
        <w:t>2</w:t>
      </w:r>
      <w:r w:rsidR="00B466DF" w:rsidRPr="00916CFC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,</w:t>
      </w:r>
      <w:r w:rsidR="00217FEB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Gauravpal S. Gill MBBS</w:t>
      </w:r>
      <w:r w:rsidR="00217FEB">
        <w:rPr>
          <w:rFonts w:eastAsia="Times New Roman" w:cstheme="majorBidi"/>
          <w:color w:val="1C1D1E"/>
          <w:sz w:val="18"/>
          <w:szCs w:val="18"/>
          <w:shd w:val="clear" w:color="auto" w:fill="FFFFFF"/>
          <w:vertAlign w:val="superscript"/>
        </w:rPr>
        <w:t>1</w:t>
      </w:r>
      <w:r w:rsidR="00217FEB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 xml:space="preserve">, </w:t>
      </w:r>
      <w:r w:rsidR="009B4A9C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>Ahmed Aboeata MBChB</w:t>
      </w:r>
      <w:r w:rsidR="009B4A9C">
        <w:rPr>
          <w:rFonts w:eastAsia="Times New Roman" w:cstheme="majorBidi"/>
          <w:color w:val="222222"/>
          <w:sz w:val="18"/>
          <w:szCs w:val="18"/>
          <w:shd w:val="clear" w:color="auto" w:fill="FFFFFF"/>
          <w:vertAlign w:val="superscript"/>
        </w:rPr>
        <w:t>1</w:t>
      </w:r>
      <w:r w:rsidR="009B4A9C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>,</w:t>
      </w:r>
      <w:r w:rsidR="00B466DF" w:rsidRPr="00916CFC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 xml:space="preserve"> </w:t>
      </w:r>
      <w:r w:rsidR="00B12AA4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K</w:t>
      </w:r>
      <w:r w:rsidR="00CD20D8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h</w:t>
      </w:r>
      <w:r w:rsidR="00B12AA4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a</w:t>
      </w:r>
      <w:r w:rsidR="009B3303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>g</w:t>
      </w:r>
      <w:r w:rsidR="00B12AA4">
        <w:rPr>
          <w:rFonts w:eastAsia="Times New Roman" w:cstheme="majorBidi"/>
          <w:color w:val="1C1D1E"/>
          <w:sz w:val="18"/>
          <w:szCs w:val="18"/>
          <w:shd w:val="clear" w:color="auto" w:fill="FFFFFF"/>
        </w:rPr>
        <w:t xml:space="preserve">endra </w:t>
      </w:r>
      <w:r w:rsidRPr="00916CFC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>Dahal</w:t>
      </w:r>
      <w:r w:rsidR="00B12AA4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 xml:space="preserve"> </w:t>
      </w:r>
      <w:r w:rsidR="00CD20D8">
        <w:rPr>
          <w:rFonts w:eastAsia="Times New Roman" w:cstheme="majorBidi"/>
          <w:color w:val="222222"/>
          <w:sz w:val="18"/>
          <w:szCs w:val="18"/>
          <w:shd w:val="clear" w:color="auto" w:fill="FFFFFF"/>
        </w:rPr>
        <w:t>MBBS</w:t>
      </w:r>
      <w:r w:rsidRPr="00916CFC">
        <w:rPr>
          <w:rFonts w:eastAsia="Times New Roman" w:cstheme="majorBidi"/>
          <w:color w:val="222222"/>
          <w:sz w:val="18"/>
          <w:szCs w:val="18"/>
          <w:shd w:val="clear" w:color="auto" w:fill="FFFFFF"/>
          <w:vertAlign w:val="superscript"/>
        </w:rPr>
        <w:t>1</w:t>
      </w:r>
    </w:p>
    <w:p w14:paraId="4ED301D1" w14:textId="77777777" w:rsidR="00B466DF" w:rsidRPr="00916CFC" w:rsidRDefault="00B466DF" w:rsidP="00B466DF">
      <w:pPr>
        <w:rPr>
          <w:rFonts w:eastAsia="Times New Roman" w:cstheme="majorBidi"/>
          <w:sz w:val="20"/>
          <w:szCs w:val="20"/>
        </w:rPr>
      </w:pPr>
    </w:p>
    <w:p w14:paraId="0FF99E7F" w14:textId="77777777" w:rsidR="00B466DF" w:rsidRPr="00916CFC" w:rsidRDefault="00B466DF" w:rsidP="00B466DF">
      <w:pPr>
        <w:rPr>
          <w:rFonts w:eastAsia="Times New Roman" w:cstheme="majorBidi"/>
          <w:color w:val="000000" w:themeColor="text1"/>
          <w:sz w:val="20"/>
          <w:szCs w:val="20"/>
          <w:shd w:val="clear" w:color="auto" w:fill="FFFFFF"/>
        </w:rPr>
      </w:pPr>
      <w:r w:rsidRPr="00916CFC">
        <w:rPr>
          <w:rFonts w:eastAsia="Times New Roman" w:cstheme="majorBidi"/>
          <w:color w:val="000000" w:themeColor="text1"/>
          <w:sz w:val="20"/>
          <w:szCs w:val="20"/>
        </w:rPr>
        <w:t xml:space="preserve">1 </w:t>
      </w:r>
      <w:r w:rsidRPr="00916CFC">
        <w:rPr>
          <w:rFonts w:eastAsia="Times New Roman" w:cstheme="majorBidi"/>
          <w:color w:val="000000" w:themeColor="text1"/>
          <w:sz w:val="20"/>
          <w:szCs w:val="20"/>
          <w:shd w:val="clear" w:color="auto" w:fill="FFFFFF"/>
        </w:rPr>
        <w:t>Division of Cardiovascular Diseases, Creighton University School of Medicine, Omaha, NE, USA</w:t>
      </w:r>
    </w:p>
    <w:p w14:paraId="7642335E" w14:textId="77777777" w:rsidR="00B466DF" w:rsidRPr="00916CFC" w:rsidRDefault="00B466DF" w:rsidP="00B466DF">
      <w:pPr>
        <w:rPr>
          <w:rFonts w:eastAsia="Times New Roman" w:cstheme="majorBidi"/>
          <w:color w:val="000000" w:themeColor="text1"/>
          <w:sz w:val="20"/>
          <w:szCs w:val="20"/>
          <w:shd w:val="clear" w:color="auto" w:fill="FFFFFF"/>
        </w:rPr>
      </w:pPr>
      <w:r w:rsidRPr="00916CFC">
        <w:rPr>
          <w:rFonts w:eastAsia="Times New Roman" w:cstheme="majorBidi"/>
          <w:color w:val="000000" w:themeColor="text1"/>
          <w:sz w:val="20"/>
          <w:szCs w:val="20"/>
          <w:shd w:val="clear" w:color="auto" w:fill="FFFFFF"/>
        </w:rPr>
        <w:t>2 Division of Medicine, University of Kentucky, Lexington, KY, USA</w:t>
      </w:r>
    </w:p>
    <w:p w14:paraId="3EE4E24E" w14:textId="7957CA8F" w:rsidR="00B466DF" w:rsidRPr="00916CFC" w:rsidRDefault="00B466DF" w:rsidP="00B466DF">
      <w:pPr>
        <w:rPr>
          <w:rFonts w:eastAsia="Times New Roman" w:cstheme="majorBidi"/>
          <w:color w:val="000000" w:themeColor="text1"/>
          <w:sz w:val="20"/>
          <w:szCs w:val="20"/>
          <w:shd w:val="clear" w:color="auto" w:fill="FFFFFF"/>
        </w:rPr>
      </w:pPr>
    </w:p>
    <w:p w14:paraId="0FBEE6D4" w14:textId="77777777" w:rsidR="00E34845" w:rsidRPr="00916CFC" w:rsidRDefault="00E34845" w:rsidP="00B466DF">
      <w:pPr>
        <w:rPr>
          <w:rFonts w:eastAsia="Times New Roman" w:cstheme="majorBidi"/>
          <w:color w:val="000000" w:themeColor="text1"/>
          <w:sz w:val="20"/>
          <w:szCs w:val="20"/>
        </w:rPr>
      </w:pPr>
    </w:p>
    <w:p w14:paraId="6AC62BAD" w14:textId="1325B738" w:rsidR="0048157A" w:rsidRPr="00916CFC" w:rsidRDefault="0048157A"/>
    <w:p w14:paraId="4E867C3F" w14:textId="77777777" w:rsidR="00301B5A" w:rsidRPr="00916CFC" w:rsidRDefault="00301B5A" w:rsidP="00E34845">
      <w:pPr>
        <w:spacing w:line="276" w:lineRule="auto"/>
        <w:jc w:val="both"/>
        <w:rPr>
          <w:rFonts w:cstheme="majorBidi"/>
          <w:b/>
          <w:bCs/>
        </w:rPr>
      </w:pPr>
      <w:r w:rsidRPr="00916CFC">
        <w:rPr>
          <w:rFonts w:cstheme="majorBidi"/>
          <w:b/>
          <w:bCs/>
        </w:rPr>
        <w:t>Introduction:</w:t>
      </w:r>
    </w:p>
    <w:p w14:paraId="0B476F53" w14:textId="66C04E5C" w:rsidR="00301B5A" w:rsidRPr="00916CFC" w:rsidRDefault="00A56CFC" w:rsidP="00E34845">
      <w:pPr>
        <w:spacing w:line="276" w:lineRule="auto"/>
        <w:jc w:val="both"/>
        <w:rPr>
          <w:rFonts w:cstheme="majorBidi"/>
        </w:rPr>
      </w:pPr>
      <w:r w:rsidRPr="00916CFC">
        <w:rPr>
          <w:rFonts w:cstheme="majorBidi"/>
        </w:rPr>
        <w:t xml:space="preserve">Despite </w:t>
      </w:r>
      <w:r w:rsidR="009060F7" w:rsidRPr="00916CFC">
        <w:rPr>
          <w:rFonts w:cstheme="majorBidi"/>
        </w:rPr>
        <w:t>restoration</w:t>
      </w:r>
      <w:r w:rsidRPr="00916CFC">
        <w:rPr>
          <w:rFonts w:cstheme="majorBidi"/>
        </w:rPr>
        <w:t xml:space="preserve"> of blood flow in patient</w:t>
      </w:r>
      <w:r w:rsidR="009B3303">
        <w:rPr>
          <w:rFonts w:cstheme="majorBidi"/>
        </w:rPr>
        <w:t>s</w:t>
      </w:r>
      <w:r w:rsidRPr="00916CFC">
        <w:rPr>
          <w:rFonts w:cstheme="majorBidi"/>
        </w:rPr>
        <w:t xml:space="preserve"> with </w:t>
      </w:r>
      <w:r w:rsidR="009B3303">
        <w:rPr>
          <w:rFonts w:cstheme="majorBidi"/>
        </w:rPr>
        <w:t>acute coronary syndrome (</w:t>
      </w:r>
      <w:r w:rsidRPr="00916CFC">
        <w:rPr>
          <w:rFonts w:cstheme="majorBidi"/>
        </w:rPr>
        <w:t>ACS</w:t>
      </w:r>
      <w:r w:rsidR="009B3303">
        <w:rPr>
          <w:rFonts w:cstheme="majorBidi"/>
        </w:rPr>
        <w:t>)</w:t>
      </w:r>
      <w:r w:rsidRPr="00916CFC">
        <w:rPr>
          <w:rFonts w:cstheme="majorBidi"/>
        </w:rPr>
        <w:t xml:space="preserve"> by revascularizing epicardial vessels via </w:t>
      </w:r>
      <w:r w:rsidR="009B3303">
        <w:rPr>
          <w:rFonts w:cstheme="majorBidi"/>
        </w:rPr>
        <w:t>percutaneous coronary intervention (</w:t>
      </w:r>
      <w:r w:rsidRPr="00916CFC">
        <w:rPr>
          <w:rFonts w:cstheme="majorBidi"/>
        </w:rPr>
        <w:t>PCI</w:t>
      </w:r>
      <w:r w:rsidR="009B3303">
        <w:rPr>
          <w:rFonts w:cstheme="majorBidi"/>
        </w:rPr>
        <w:t>)</w:t>
      </w:r>
      <w:r w:rsidRPr="00916CFC">
        <w:rPr>
          <w:rFonts w:cstheme="majorBidi"/>
        </w:rPr>
        <w:t>, microvascular dysfunction</w:t>
      </w:r>
      <w:r w:rsidR="009B3303">
        <w:rPr>
          <w:rFonts w:cstheme="majorBidi"/>
        </w:rPr>
        <w:t xml:space="preserve"> (MD)</w:t>
      </w:r>
      <w:r w:rsidRPr="00916CFC">
        <w:rPr>
          <w:rFonts w:cstheme="majorBidi"/>
        </w:rPr>
        <w:t xml:space="preserve"> </w:t>
      </w:r>
      <w:r w:rsidR="009B3303">
        <w:rPr>
          <w:rFonts w:cstheme="majorBidi"/>
        </w:rPr>
        <w:t>still occurs</w:t>
      </w:r>
      <w:r w:rsidRPr="00916CFC">
        <w:rPr>
          <w:rFonts w:cstheme="majorBidi"/>
        </w:rPr>
        <w:t xml:space="preserve"> in majority of patients impacting clinical and functional outcomes.</w:t>
      </w:r>
    </w:p>
    <w:p w14:paraId="5E9D097B" w14:textId="77777777" w:rsidR="009060F7" w:rsidRPr="00916CFC" w:rsidRDefault="009060F7" w:rsidP="00E34845">
      <w:pPr>
        <w:spacing w:line="276" w:lineRule="auto"/>
        <w:jc w:val="both"/>
        <w:rPr>
          <w:rFonts w:cstheme="majorBidi"/>
          <w:b/>
          <w:bCs/>
          <w:color w:val="000000"/>
        </w:rPr>
      </w:pPr>
    </w:p>
    <w:p w14:paraId="6D89E422" w14:textId="47D9D24A" w:rsidR="00020D3E" w:rsidRPr="00916CFC" w:rsidRDefault="00020D3E" w:rsidP="00E34845">
      <w:pPr>
        <w:spacing w:line="276" w:lineRule="auto"/>
        <w:jc w:val="both"/>
        <w:rPr>
          <w:rFonts w:cstheme="majorBidi"/>
        </w:rPr>
      </w:pPr>
      <w:r w:rsidRPr="00916CFC">
        <w:rPr>
          <w:rFonts w:cstheme="majorBidi"/>
          <w:b/>
          <w:bCs/>
          <w:color w:val="000000"/>
        </w:rPr>
        <w:t xml:space="preserve">Objective: </w:t>
      </w:r>
      <w:r w:rsidRPr="00916CFC">
        <w:rPr>
          <w:rFonts w:cstheme="majorBidi"/>
          <w:color w:val="000000"/>
        </w:rPr>
        <w:t> </w:t>
      </w:r>
      <w:r w:rsidRPr="00916CFC">
        <w:rPr>
          <w:rFonts w:cstheme="majorBidi"/>
        </w:rPr>
        <w:t xml:space="preserve">We sought to perform meta-analyses on all studies that compared the use of </w:t>
      </w:r>
      <w:r w:rsidR="009B3303">
        <w:rPr>
          <w:rFonts w:cstheme="majorBidi"/>
        </w:rPr>
        <w:t>t</w:t>
      </w:r>
      <w:r w:rsidR="00A56CFC" w:rsidRPr="00916CFC">
        <w:rPr>
          <w:rFonts w:cstheme="majorBidi"/>
        </w:rPr>
        <w:t>icagrelor to other P2Y12 inhibitors</w:t>
      </w:r>
      <w:r w:rsidR="009B3303">
        <w:rPr>
          <w:rFonts w:cstheme="majorBidi"/>
        </w:rPr>
        <w:t xml:space="preserve"> (clopidogrel and prasugrel)</w:t>
      </w:r>
      <w:r w:rsidR="00A56CFC" w:rsidRPr="00916CFC">
        <w:rPr>
          <w:rFonts w:cstheme="majorBidi"/>
        </w:rPr>
        <w:t xml:space="preserve"> among </w:t>
      </w:r>
      <w:r w:rsidR="00B2404F">
        <w:rPr>
          <w:rFonts w:cstheme="majorBidi"/>
        </w:rPr>
        <w:t>varying spectrum of CAD</w:t>
      </w:r>
      <w:r w:rsidR="00A56CFC" w:rsidRPr="00916CFC">
        <w:rPr>
          <w:rFonts w:cstheme="majorBidi"/>
        </w:rPr>
        <w:t xml:space="preserve"> patients</w:t>
      </w:r>
      <w:r w:rsidR="009B3303">
        <w:rPr>
          <w:rFonts w:cstheme="majorBidi"/>
        </w:rPr>
        <w:t xml:space="preserve">. We </w:t>
      </w:r>
      <w:r w:rsidR="009060F7" w:rsidRPr="00916CFC">
        <w:rPr>
          <w:rFonts w:cstheme="majorBidi"/>
        </w:rPr>
        <w:t>select</w:t>
      </w:r>
      <w:r w:rsidR="009B3303">
        <w:rPr>
          <w:rFonts w:cstheme="majorBidi"/>
        </w:rPr>
        <w:t>ed</w:t>
      </w:r>
      <w:r w:rsidR="009060F7" w:rsidRPr="00916CFC">
        <w:rPr>
          <w:rFonts w:cstheme="majorBidi"/>
        </w:rPr>
        <w:t xml:space="preserve"> studies that reported coronary physiologic measurements including </w:t>
      </w:r>
      <w:r w:rsidR="009B3303">
        <w:rPr>
          <w:rFonts w:cstheme="majorBidi"/>
          <w:color w:val="000000"/>
        </w:rPr>
        <w:t>i</w:t>
      </w:r>
      <w:r w:rsidR="009060F7" w:rsidRPr="00916CFC">
        <w:rPr>
          <w:rFonts w:cstheme="majorBidi"/>
          <w:color w:val="000000"/>
        </w:rPr>
        <w:t xml:space="preserve">ndex </w:t>
      </w:r>
      <w:r w:rsidR="009B3303">
        <w:rPr>
          <w:rFonts w:cstheme="majorBidi"/>
          <w:color w:val="000000"/>
        </w:rPr>
        <w:t>m</w:t>
      </w:r>
      <w:r w:rsidR="009060F7" w:rsidRPr="00916CFC">
        <w:rPr>
          <w:rFonts w:cstheme="majorBidi"/>
          <w:color w:val="000000"/>
        </w:rPr>
        <w:t>icrocirculatory resistance (IMR)</w:t>
      </w:r>
      <w:r w:rsidR="009847CD">
        <w:rPr>
          <w:rFonts w:cstheme="majorBidi"/>
          <w:color w:val="000000"/>
        </w:rPr>
        <w:t>,</w:t>
      </w:r>
      <w:r w:rsidR="009847CD" w:rsidRPr="009847CD">
        <w:rPr>
          <w:rFonts w:cstheme="majorBidi"/>
          <w:color w:val="000000"/>
        </w:rPr>
        <w:t xml:space="preserve"> </w:t>
      </w:r>
      <w:r w:rsidR="009B3303">
        <w:rPr>
          <w:rFonts w:cstheme="majorBidi"/>
          <w:color w:val="000000"/>
        </w:rPr>
        <w:t>c</w:t>
      </w:r>
      <w:r w:rsidR="009847CD">
        <w:rPr>
          <w:rFonts w:cstheme="majorBidi"/>
          <w:color w:val="000000"/>
        </w:rPr>
        <w:t xml:space="preserve">oronary </w:t>
      </w:r>
      <w:r w:rsidR="009B3303">
        <w:rPr>
          <w:rFonts w:cstheme="majorBidi"/>
          <w:color w:val="000000"/>
        </w:rPr>
        <w:t>f</w:t>
      </w:r>
      <w:r w:rsidR="009847CD">
        <w:rPr>
          <w:rFonts w:cstheme="majorBidi"/>
          <w:color w:val="000000"/>
        </w:rPr>
        <w:t xml:space="preserve">low </w:t>
      </w:r>
      <w:r w:rsidR="009B3303">
        <w:rPr>
          <w:rFonts w:cstheme="majorBidi"/>
          <w:color w:val="000000"/>
        </w:rPr>
        <w:t>r</w:t>
      </w:r>
      <w:r w:rsidR="009847CD">
        <w:rPr>
          <w:rFonts w:cstheme="majorBidi"/>
          <w:color w:val="000000"/>
        </w:rPr>
        <w:t>eserve (</w:t>
      </w:r>
      <w:r w:rsidR="009847CD" w:rsidRPr="00916CFC">
        <w:rPr>
          <w:rFonts w:cstheme="majorBidi"/>
          <w:color w:val="000000"/>
        </w:rPr>
        <w:t>CFR</w:t>
      </w:r>
      <w:r w:rsidR="009847CD">
        <w:rPr>
          <w:rFonts w:cstheme="majorBidi"/>
          <w:color w:val="000000"/>
        </w:rPr>
        <w:t>)</w:t>
      </w:r>
      <w:r w:rsidR="009847CD" w:rsidRPr="00916CFC">
        <w:rPr>
          <w:rFonts w:cstheme="majorBidi"/>
          <w:color w:val="000000"/>
        </w:rPr>
        <w:t xml:space="preserve"> and </w:t>
      </w:r>
      <w:r w:rsidR="009B3303">
        <w:rPr>
          <w:rFonts w:cstheme="majorBidi"/>
          <w:color w:val="000000"/>
        </w:rPr>
        <w:t>f</w:t>
      </w:r>
      <w:r w:rsidR="009847CD">
        <w:rPr>
          <w:rFonts w:cstheme="majorBidi"/>
          <w:color w:val="000000"/>
        </w:rPr>
        <w:t xml:space="preserve">ractional </w:t>
      </w:r>
      <w:r w:rsidR="009B3303">
        <w:rPr>
          <w:rFonts w:cstheme="majorBidi"/>
          <w:color w:val="000000"/>
        </w:rPr>
        <w:t>f</w:t>
      </w:r>
      <w:r w:rsidR="009847CD">
        <w:rPr>
          <w:rFonts w:cstheme="majorBidi"/>
          <w:color w:val="000000"/>
        </w:rPr>
        <w:t xml:space="preserve">low </w:t>
      </w:r>
      <w:r w:rsidR="009B3303">
        <w:rPr>
          <w:rFonts w:cstheme="majorBidi"/>
          <w:color w:val="000000"/>
        </w:rPr>
        <w:t>r</w:t>
      </w:r>
      <w:r w:rsidR="009847CD">
        <w:rPr>
          <w:rFonts w:cstheme="majorBidi"/>
          <w:color w:val="000000"/>
        </w:rPr>
        <w:t>eserve (</w:t>
      </w:r>
      <w:r w:rsidR="009847CD" w:rsidRPr="00916CFC">
        <w:rPr>
          <w:rFonts w:cstheme="majorBidi"/>
          <w:color w:val="000000"/>
        </w:rPr>
        <w:t>FFR</w:t>
      </w:r>
      <w:r w:rsidR="009847CD">
        <w:rPr>
          <w:rFonts w:cstheme="majorBidi"/>
          <w:color w:val="000000"/>
        </w:rPr>
        <w:t>).</w:t>
      </w:r>
    </w:p>
    <w:p w14:paraId="495E4D9E" w14:textId="77777777" w:rsidR="00020D3E" w:rsidRPr="00916CFC" w:rsidRDefault="00020D3E" w:rsidP="00E34845">
      <w:pPr>
        <w:spacing w:line="276" w:lineRule="auto"/>
        <w:jc w:val="both"/>
        <w:rPr>
          <w:rFonts w:cstheme="majorBidi"/>
        </w:rPr>
      </w:pPr>
    </w:p>
    <w:p w14:paraId="1D6C25DC" w14:textId="2F7930B1" w:rsidR="00B466DF" w:rsidRPr="00916CFC" w:rsidRDefault="00B466DF" w:rsidP="00E34845">
      <w:pPr>
        <w:spacing w:line="276" w:lineRule="auto"/>
        <w:jc w:val="both"/>
        <w:rPr>
          <w:rFonts w:cstheme="majorBidi"/>
          <w:color w:val="000000"/>
        </w:rPr>
      </w:pPr>
      <w:r w:rsidRPr="00916CFC">
        <w:rPr>
          <w:rFonts w:cstheme="majorBidi"/>
          <w:b/>
          <w:bCs/>
        </w:rPr>
        <w:t>Methods</w:t>
      </w:r>
      <w:r w:rsidRPr="00916CFC">
        <w:rPr>
          <w:rFonts w:cstheme="majorBidi"/>
        </w:rPr>
        <w:t>:</w:t>
      </w:r>
      <w:r w:rsidRPr="00916CFC">
        <w:rPr>
          <w:rFonts w:cstheme="majorBidi"/>
          <w:color w:val="000000" w:themeColor="text1"/>
        </w:rPr>
        <w:t xml:space="preserve"> We </w:t>
      </w:r>
      <w:r w:rsidR="009B3303" w:rsidRPr="00916CFC">
        <w:rPr>
          <w:rFonts w:cstheme="majorBidi"/>
          <w:color w:val="000000" w:themeColor="text1"/>
        </w:rPr>
        <w:t>searched PubMed</w:t>
      </w:r>
      <w:r w:rsidRPr="00916CFC">
        <w:rPr>
          <w:rFonts w:cstheme="majorBidi"/>
          <w:color w:val="000000" w:themeColor="text1"/>
        </w:rPr>
        <w:t xml:space="preserve">, Cochrane Central Register of Clinical Trials, EMBASE and ClinicalTrial.gov </w:t>
      </w:r>
      <w:r w:rsidR="000C7165" w:rsidRPr="00916CFC">
        <w:rPr>
          <w:rFonts w:cstheme="majorBidi"/>
          <w:color w:val="000000"/>
        </w:rPr>
        <w:t xml:space="preserve">(inception through July 10, 2021) </w:t>
      </w:r>
      <w:r w:rsidR="000C7165" w:rsidRPr="00916CFC">
        <w:rPr>
          <w:rFonts w:cstheme="majorBidi"/>
          <w:color w:val="000000" w:themeColor="text1"/>
        </w:rPr>
        <w:t xml:space="preserve">for studies comparing </w:t>
      </w:r>
      <w:r w:rsidR="009B3303">
        <w:rPr>
          <w:rFonts w:cstheme="majorBidi"/>
          <w:color w:val="000000" w:themeColor="text1"/>
        </w:rPr>
        <w:t>t</w:t>
      </w:r>
      <w:r w:rsidR="008C1D33" w:rsidRPr="00916CFC">
        <w:rPr>
          <w:rFonts w:cstheme="majorBidi"/>
          <w:color w:val="000000" w:themeColor="text1"/>
        </w:rPr>
        <w:t xml:space="preserve">icagrelor </w:t>
      </w:r>
      <w:r w:rsidR="000C7165" w:rsidRPr="00916CFC">
        <w:rPr>
          <w:rFonts w:cstheme="majorBidi"/>
          <w:color w:val="000000" w:themeColor="text1"/>
        </w:rPr>
        <w:t xml:space="preserve">with </w:t>
      </w:r>
      <w:r w:rsidR="008C1D33" w:rsidRPr="00916CFC">
        <w:rPr>
          <w:rFonts w:cstheme="majorBidi"/>
          <w:color w:val="000000" w:themeColor="text1"/>
        </w:rPr>
        <w:t>other P2Y12 inhibitors</w:t>
      </w:r>
      <w:r w:rsidR="000C7165" w:rsidRPr="00916CFC">
        <w:rPr>
          <w:rFonts w:cstheme="majorBidi"/>
          <w:color w:val="000000" w:themeColor="text1"/>
        </w:rPr>
        <w:t xml:space="preserve"> </w:t>
      </w:r>
      <w:r w:rsidR="00B2404F">
        <w:rPr>
          <w:rFonts w:cstheme="majorBidi"/>
          <w:color w:val="000000" w:themeColor="text1"/>
        </w:rPr>
        <w:t xml:space="preserve">that reported </w:t>
      </w:r>
      <w:r w:rsidR="009B3303">
        <w:rPr>
          <w:rFonts w:cstheme="majorBidi"/>
          <w:color w:val="000000" w:themeColor="text1"/>
        </w:rPr>
        <w:t xml:space="preserve">various coronary physiological measurements </w:t>
      </w:r>
      <w:r w:rsidR="008C1D33" w:rsidRPr="00916CFC">
        <w:rPr>
          <w:rFonts w:cstheme="majorBidi"/>
          <w:color w:val="000000" w:themeColor="text1"/>
        </w:rPr>
        <w:t xml:space="preserve">among </w:t>
      </w:r>
      <w:r w:rsidR="00B2404F">
        <w:rPr>
          <w:rFonts w:cstheme="majorBidi"/>
          <w:color w:val="000000" w:themeColor="text1"/>
        </w:rPr>
        <w:t xml:space="preserve">CAD </w:t>
      </w:r>
      <w:r w:rsidR="009060F7" w:rsidRPr="00916CFC">
        <w:rPr>
          <w:rFonts w:cstheme="majorBidi"/>
          <w:color w:val="000000" w:themeColor="text1"/>
        </w:rPr>
        <w:t>patients</w:t>
      </w:r>
      <w:r w:rsidR="008C1D33" w:rsidRPr="00916CFC">
        <w:rPr>
          <w:rFonts w:cstheme="majorBidi"/>
          <w:color w:val="000000" w:themeColor="text1"/>
        </w:rPr>
        <w:t>.</w:t>
      </w:r>
      <w:r w:rsidR="000C7165" w:rsidRPr="00916CFC">
        <w:rPr>
          <w:rFonts w:cstheme="majorBidi"/>
          <w:color w:val="000000" w:themeColor="text1"/>
        </w:rPr>
        <w:t xml:space="preserve"> </w:t>
      </w:r>
      <w:r w:rsidR="000C7165" w:rsidRPr="00916CFC">
        <w:rPr>
          <w:rFonts w:cstheme="majorBidi"/>
          <w:color w:val="000000"/>
        </w:rPr>
        <w:t>We used random-effect</w:t>
      </w:r>
      <w:r w:rsidR="009B3303">
        <w:rPr>
          <w:rFonts w:cstheme="majorBidi"/>
          <w:color w:val="000000"/>
        </w:rPr>
        <w:t>s</w:t>
      </w:r>
      <w:r w:rsidR="000C7165" w:rsidRPr="00916CFC">
        <w:rPr>
          <w:rFonts w:cstheme="majorBidi"/>
          <w:color w:val="000000"/>
        </w:rPr>
        <w:t xml:space="preserve"> model to calculate </w:t>
      </w:r>
      <w:r w:rsidR="009B3303">
        <w:rPr>
          <w:rFonts w:cstheme="majorBidi"/>
          <w:color w:val="000000"/>
        </w:rPr>
        <w:t>s</w:t>
      </w:r>
      <w:r w:rsidR="009B3303" w:rsidRPr="00916CFC">
        <w:rPr>
          <w:rFonts w:cstheme="majorBidi"/>
          <w:color w:val="000000"/>
        </w:rPr>
        <w:t>tandardized</w:t>
      </w:r>
      <w:r w:rsidR="00A56CFC" w:rsidRPr="00916CFC">
        <w:rPr>
          <w:rFonts w:cstheme="majorBidi"/>
          <w:color w:val="000000"/>
        </w:rPr>
        <w:t xml:space="preserve"> </w:t>
      </w:r>
      <w:r w:rsidR="009B3303">
        <w:rPr>
          <w:rFonts w:cstheme="majorBidi"/>
          <w:color w:val="000000"/>
        </w:rPr>
        <w:t>m</w:t>
      </w:r>
      <w:r w:rsidR="00A56CFC" w:rsidRPr="00916CFC">
        <w:rPr>
          <w:rFonts w:cstheme="majorBidi"/>
          <w:color w:val="000000"/>
        </w:rPr>
        <w:t xml:space="preserve">ean </w:t>
      </w:r>
      <w:r w:rsidR="009B3303">
        <w:rPr>
          <w:rFonts w:cstheme="majorBidi"/>
          <w:color w:val="000000"/>
        </w:rPr>
        <w:t>d</w:t>
      </w:r>
      <w:r w:rsidR="00A56CFC" w:rsidRPr="00916CFC">
        <w:rPr>
          <w:rFonts w:cstheme="majorBidi"/>
          <w:color w:val="000000"/>
        </w:rPr>
        <w:t>ifference</w:t>
      </w:r>
      <w:r w:rsidR="000C7165" w:rsidRPr="00916CFC">
        <w:rPr>
          <w:rFonts w:cstheme="majorBidi"/>
          <w:color w:val="000000"/>
        </w:rPr>
        <w:t xml:space="preserve"> (</w:t>
      </w:r>
      <w:r w:rsidR="00A56CFC" w:rsidRPr="00916CFC">
        <w:rPr>
          <w:rFonts w:cstheme="majorBidi"/>
          <w:color w:val="000000"/>
        </w:rPr>
        <w:t>SMD</w:t>
      </w:r>
      <w:r w:rsidR="000C7165" w:rsidRPr="00916CFC">
        <w:rPr>
          <w:rFonts w:cstheme="majorBidi"/>
          <w:color w:val="000000"/>
        </w:rPr>
        <w:t xml:space="preserve">) with 95% confidence interval (CI). </w:t>
      </w:r>
      <w:r w:rsidR="00B2404F">
        <w:rPr>
          <w:rFonts w:cstheme="majorBidi"/>
          <w:color w:val="000000"/>
        </w:rPr>
        <w:t>Outcomes of interest include</w:t>
      </w:r>
      <w:r w:rsidR="009B3303">
        <w:rPr>
          <w:rFonts w:cstheme="majorBidi"/>
          <w:color w:val="000000"/>
        </w:rPr>
        <w:t xml:space="preserve">d </w:t>
      </w:r>
      <w:r w:rsidR="00A56CFC" w:rsidRPr="00916CFC">
        <w:rPr>
          <w:rFonts w:cstheme="majorBidi"/>
          <w:color w:val="000000"/>
        </w:rPr>
        <w:t>IMR</w:t>
      </w:r>
      <w:r w:rsidR="000C7165" w:rsidRPr="00916CFC">
        <w:rPr>
          <w:rFonts w:cstheme="majorBidi"/>
          <w:color w:val="000000"/>
        </w:rPr>
        <w:t xml:space="preserve">, </w:t>
      </w:r>
      <w:r w:rsidR="00A56CFC" w:rsidRPr="00916CFC">
        <w:rPr>
          <w:rFonts w:cstheme="majorBidi"/>
          <w:color w:val="000000"/>
        </w:rPr>
        <w:t>CFR</w:t>
      </w:r>
      <w:r w:rsidR="000C7165" w:rsidRPr="00916CFC">
        <w:rPr>
          <w:rFonts w:cstheme="majorBidi"/>
          <w:color w:val="000000"/>
        </w:rPr>
        <w:t xml:space="preserve">, and </w:t>
      </w:r>
      <w:r w:rsidR="00A56CFC" w:rsidRPr="00916CFC">
        <w:rPr>
          <w:rFonts w:cstheme="majorBidi"/>
          <w:color w:val="000000"/>
        </w:rPr>
        <w:t>FFR</w:t>
      </w:r>
      <w:r w:rsidR="009847CD">
        <w:rPr>
          <w:rFonts w:cstheme="majorBidi"/>
          <w:color w:val="000000"/>
        </w:rPr>
        <w:t>.</w:t>
      </w:r>
    </w:p>
    <w:p w14:paraId="6E6C6908" w14:textId="77777777" w:rsidR="009060F7" w:rsidRPr="00916CFC" w:rsidRDefault="009060F7" w:rsidP="00E34845">
      <w:pPr>
        <w:spacing w:line="276" w:lineRule="auto"/>
        <w:jc w:val="both"/>
        <w:rPr>
          <w:rFonts w:cstheme="majorBidi"/>
          <w:color w:val="000000" w:themeColor="text1"/>
        </w:rPr>
      </w:pPr>
    </w:p>
    <w:p w14:paraId="145AEABA" w14:textId="12C75E5F" w:rsidR="00916CFC" w:rsidRDefault="00E34845" w:rsidP="00BD0602">
      <w:pPr>
        <w:spacing w:line="276" w:lineRule="auto"/>
        <w:jc w:val="both"/>
        <w:rPr>
          <w:rFonts w:cstheme="majorBidi"/>
        </w:rPr>
      </w:pPr>
      <w:r w:rsidRPr="00916CFC">
        <w:rPr>
          <w:rFonts w:cstheme="majorBidi"/>
          <w:b/>
          <w:bCs/>
          <w:color w:val="000000"/>
        </w:rPr>
        <w:t>Results:</w:t>
      </w:r>
      <w:r w:rsidRPr="00916CFC">
        <w:rPr>
          <w:rFonts w:cstheme="majorBidi"/>
          <w:color w:val="000000"/>
        </w:rPr>
        <w:t> </w:t>
      </w:r>
      <w:r w:rsidRPr="00916CFC">
        <w:rPr>
          <w:rFonts w:cstheme="majorBidi"/>
        </w:rPr>
        <w:t xml:space="preserve">A total </w:t>
      </w:r>
      <w:r w:rsidR="009060F7" w:rsidRPr="00916CFC">
        <w:rPr>
          <w:rFonts w:cstheme="majorBidi"/>
        </w:rPr>
        <w:t>4</w:t>
      </w:r>
      <w:r w:rsidR="0048157A" w:rsidRPr="00916CFC">
        <w:rPr>
          <w:rFonts w:cstheme="majorBidi"/>
        </w:rPr>
        <w:t xml:space="preserve"> </w:t>
      </w:r>
      <w:r w:rsidR="009B3303">
        <w:rPr>
          <w:rFonts w:cstheme="majorBidi"/>
        </w:rPr>
        <w:t xml:space="preserve">randomized trials </w:t>
      </w:r>
      <w:r w:rsidR="0048157A" w:rsidRPr="00916CFC">
        <w:rPr>
          <w:rFonts w:cstheme="majorBidi"/>
        </w:rPr>
        <w:t xml:space="preserve">with </w:t>
      </w:r>
      <w:r w:rsidR="00916CFC" w:rsidRPr="00916CFC">
        <w:rPr>
          <w:rFonts w:cstheme="majorBidi"/>
        </w:rPr>
        <w:t xml:space="preserve">367 </w:t>
      </w:r>
      <w:r w:rsidR="009B3303">
        <w:rPr>
          <w:rFonts w:cstheme="majorBidi"/>
        </w:rPr>
        <w:t xml:space="preserve">unique </w:t>
      </w:r>
      <w:r w:rsidR="0048157A" w:rsidRPr="00916CFC">
        <w:rPr>
          <w:rFonts w:cstheme="majorBidi"/>
        </w:rPr>
        <w:t xml:space="preserve">patients </w:t>
      </w:r>
      <w:r w:rsidR="00436CB1" w:rsidRPr="00916CFC">
        <w:rPr>
          <w:rFonts w:cstheme="majorBidi"/>
        </w:rPr>
        <w:t>were included</w:t>
      </w:r>
      <w:r w:rsidRPr="00916CFC">
        <w:rPr>
          <w:rFonts w:cstheme="majorBidi"/>
        </w:rPr>
        <w:t xml:space="preserve"> </w:t>
      </w:r>
      <w:r w:rsidR="009B3303">
        <w:rPr>
          <w:rFonts w:cstheme="majorBidi"/>
        </w:rPr>
        <w:t>in the analysis</w:t>
      </w:r>
      <w:r w:rsidRPr="00916CFC">
        <w:rPr>
          <w:rFonts w:cstheme="majorBidi"/>
        </w:rPr>
        <w:t xml:space="preserve">. </w:t>
      </w:r>
      <w:r w:rsidR="00916CFC" w:rsidRPr="00916CFC">
        <w:rPr>
          <w:rFonts w:cstheme="majorBidi"/>
        </w:rPr>
        <w:t xml:space="preserve">70.6% </w:t>
      </w:r>
      <w:r w:rsidR="009B3303">
        <w:rPr>
          <w:rFonts w:cstheme="majorBidi"/>
        </w:rPr>
        <w:t>were</w:t>
      </w:r>
      <w:r w:rsidR="009B3303" w:rsidRPr="00916CFC">
        <w:rPr>
          <w:rFonts w:cstheme="majorBidi"/>
        </w:rPr>
        <w:t xml:space="preserve"> </w:t>
      </w:r>
      <w:r w:rsidR="009B3303">
        <w:rPr>
          <w:rFonts w:cstheme="majorBidi"/>
        </w:rPr>
        <w:t>m</w:t>
      </w:r>
      <w:r w:rsidR="00916CFC" w:rsidRPr="00916CFC">
        <w:rPr>
          <w:rFonts w:cstheme="majorBidi"/>
        </w:rPr>
        <w:t xml:space="preserve">ales with </w:t>
      </w:r>
      <w:r w:rsidR="009B3303">
        <w:rPr>
          <w:rFonts w:cstheme="majorBidi"/>
        </w:rPr>
        <w:t>mean</w:t>
      </w:r>
      <w:r w:rsidR="009B3303" w:rsidRPr="00916CFC">
        <w:rPr>
          <w:rFonts w:cstheme="majorBidi"/>
        </w:rPr>
        <w:t xml:space="preserve"> </w:t>
      </w:r>
      <w:r w:rsidR="00916CFC" w:rsidRPr="00916CFC">
        <w:rPr>
          <w:rFonts w:cstheme="majorBidi"/>
        </w:rPr>
        <w:t xml:space="preserve">age 59.9 </w:t>
      </w:r>
      <w:r w:rsidR="00916CFC" w:rsidRPr="00916CFC">
        <w:t>± 2.14</w:t>
      </w:r>
      <w:r w:rsidR="009B3303">
        <w:t xml:space="preserve"> years</w:t>
      </w:r>
      <w:r w:rsidR="00916CFC" w:rsidRPr="00916CFC">
        <w:t xml:space="preserve">. </w:t>
      </w:r>
    </w:p>
    <w:p w14:paraId="55D0B755" w14:textId="3F12F652" w:rsidR="009060F7" w:rsidRDefault="00916CFC" w:rsidP="00E34845">
      <w:pPr>
        <w:spacing w:line="276" w:lineRule="auto"/>
        <w:jc w:val="both"/>
        <w:rPr>
          <w:rFonts w:cstheme="majorBidi"/>
        </w:rPr>
      </w:pPr>
      <w:r w:rsidRPr="00916CFC">
        <w:rPr>
          <w:rFonts w:cstheme="majorBidi"/>
        </w:rPr>
        <w:t>The</w:t>
      </w:r>
      <w:r>
        <w:rPr>
          <w:rFonts w:cstheme="majorBidi"/>
        </w:rPr>
        <w:t xml:space="preserve"> pooled</w:t>
      </w:r>
      <w:r w:rsidRPr="00916CFC">
        <w:rPr>
          <w:rFonts w:cstheme="majorBidi"/>
        </w:rPr>
        <w:t xml:space="preserve"> IMR in the </w:t>
      </w:r>
      <w:r w:rsidR="00BD0602">
        <w:rPr>
          <w:rFonts w:cstheme="majorBidi"/>
        </w:rPr>
        <w:t>t</w:t>
      </w:r>
      <w:r w:rsidRPr="00916CFC">
        <w:rPr>
          <w:rFonts w:cstheme="majorBidi"/>
        </w:rPr>
        <w:t xml:space="preserve">icagrelor group </w:t>
      </w:r>
      <w:r w:rsidR="00BD0602">
        <w:rPr>
          <w:rFonts w:cstheme="majorBidi"/>
        </w:rPr>
        <w:t>vs</w:t>
      </w:r>
      <w:r w:rsidRPr="00916CFC">
        <w:rPr>
          <w:rFonts w:cstheme="majorBidi"/>
        </w:rPr>
        <w:t xml:space="preserve"> the clopidogrel</w:t>
      </w:r>
      <w:r>
        <w:rPr>
          <w:rFonts w:cstheme="majorBidi"/>
        </w:rPr>
        <w:t>/prasugrel</w:t>
      </w:r>
      <w:r w:rsidRPr="00916CFC">
        <w:rPr>
          <w:rFonts w:cstheme="majorBidi"/>
        </w:rPr>
        <w:t xml:space="preserve"> group</w:t>
      </w:r>
      <w:r w:rsidR="00BD0602">
        <w:rPr>
          <w:rFonts w:cstheme="majorBidi"/>
        </w:rPr>
        <w:t xml:space="preserve"> was</w:t>
      </w:r>
      <w:r w:rsidRPr="00916CFC">
        <w:rPr>
          <w:rFonts w:cstheme="majorBidi"/>
        </w:rPr>
        <w:t xml:space="preserve"> </w:t>
      </w:r>
      <w:r w:rsidR="00437539">
        <w:rPr>
          <w:rFonts w:cstheme="majorBidi"/>
        </w:rPr>
        <w:t>SMD of -0.65 95% CI (-1.85</w:t>
      </w:r>
      <w:r w:rsidR="00BD0602">
        <w:rPr>
          <w:rFonts w:cstheme="majorBidi"/>
        </w:rPr>
        <w:t xml:space="preserve">, 0.56; </w:t>
      </w:r>
      <w:r w:rsidR="00591F10">
        <w:rPr>
          <w:rFonts w:cstheme="majorBidi"/>
        </w:rPr>
        <w:t>p=0.18</w:t>
      </w:r>
      <w:r w:rsidR="00437539">
        <w:rPr>
          <w:rFonts w:cstheme="majorBidi"/>
        </w:rPr>
        <w:t>)</w:t>
      </w:r>
      <w:r>
        <w:rPr>
          <w:rFonts w:cstheme="majorBidi"/>
        </w:rPr>
        <w:t xml:space="preserve">. </w:t>
      </w:r>
      <w:r w:rsidR="00BD0602">
        <w:rPr>
          <w:rFonts w:cstheme="majorBidi"/>
        </w:rPr>
        <w:t xml:space="preserve">The results were similar in the subgroup analyses. </w:t>
      </w:r>
      <w:r w:rsidR="00B2404F">
        <w:rPr>
          <w:rFonts w:cstheme="majorBidi"/>
        </w:rPr>
        <w:t xml:space="preserve">In regards to CFR, </w:t>
      </w:r>
      <w:r w:rsidR="00BD0602">
        <w:rPr>
          <w:rFonts w:cstheme="majorBidi"/>
        </w:rPr>
        <w:t>t</w:t>
      </w:r>
      <w:r w:rsidR="00B2404F">
        <w:rPr>
          <w:rFonts w:cstheme="majorBidi"/>
        </w:rPr>
        <w:t xml:space="preserve">icagrelor </w:t>
      </w:r>
      <w:r w:rsidR="00BD0602">
        <w:rPr>
          <w:rFonts w:cstheme="majorBidi"/>
        </w:rPr>
        <w:t xml:space="preserve">was </w:t>
      </w:r>
      <w:r w:rsidR="00B2404F">
        <w:rPr>
          <w:rFonts w:cstheme="majorBidi"/>
        </w:rPr>
        <w:t xml:space="preserve">associated with </w:t>
      </w:r>
      <w:r w:rsidR="00CF52BF">
        <w:rPr>
          <w:rFonts w:cstheme="majorBidi"/>
        </w:rPr>
        <w:t xml:space="preserve">a </w:t>
      </w:r>
      <w:r w:rsidR="00B2404F">
        <w:rPr>
          <w:rFonts w:cstheme="majorBidi"/>
        </w:rPr>
        <w:t xml:space="preserve">higher </w:t>
      </w:r>
      <w:r w:rsidR="00CF52BF">
        <w:rPr>
          <w:rFonts w:cstheme="majorBidi"/>
        </w:rPr>
        <w:t xml:space="preserve">CFR </w:t>
      </w:r>
      <w:r w:rsidR="00B2404F">
        <w:rPr>
          <w:rFonts w:cstheme="majorBidi"/>
        </w:rPr>
        <w:t>value</w:t>
      </w:r>
      <w:r w:rsidR="00CF52BF">
        <w:rPr>
          <w:rFonts w:cstheme="majorBidi"/>
        </w:rPr>
        <w:t xml:space="preserve"> with SMD of 0.43 95% CI (-0.25</w:t>
      </w:r>
      <w:r w:rsidR="00BD0602">
        <w:rPr>
          <w:rFonts w:cstheme="majorBidi"/>
        </w:rPr>
        <w:t>, 1.10</w:t>
      </w:r>
      <w:r w:rsidR="00591F10">
        <w:rPr>
          <w:rFonts w:cstheme="majorBidi"/>
        </w:rPr>
        <w:t>; p=0.11</w:t>
      </w:r>
      <w:r w:rsidR="00CF52BF">
        <w:rPr>
          <w:rFonts w:cstheme="majorBidi"/>
        </w:rPr>
        <w:t xml:space="preserve">) when </w:t>
      </w:r>
      <w:r w:rsidR="00B2404F">
        <w:rPr>
          <w:rFonts w:cstheme="majorBidi"/>
        </w:rPr>
        <w:t xml:space="preserve">compared to </w:t>
      </w:r>
      <w:r w:rsidR="00BD0602">
        <w:rPr>
          <w:rFonts w:cstheme="majorBidi"/>
        </w:rPr>
        <w:t>c</w:t>
      </w:r>
      <w:r w:rsidR="00CF52BF">
        <w:rPr>
          <w:rFonts w:cstheme="majorBidi"/>
        </w:rPr>
        <w:t>lopidogrel. T</w:t>
      </w:r>
      <w:r w:rsidR="00B2404F">
        <w:rPr>
          <w:rFonts w:cstheme="majorBidi"/>
        </w:rPr>
        <w:t xml:space="preserve">his difference </w:t>
      </w:r>
      <w:r w:rsidR="00BD0602">
        <w:rPr>
          <w:rFonts w:cstheme="majorBidi"/>
        </w:rPr>
        <w:t xml:space="preserve">was </w:t>
      </w:r>
      <w:r w:rsidR="00B2404F">
        <w:rPr>
          <w:rFonts w:cstheme="majorBidi"/>
        </w:rPr>
        <w:t xml:space="preserve">absent </w:t>
      </w:r>
      <w:r w:rsidR="00CF52BF">
        <w:rPr>
          <w:rFonts w:cstheme="majorBidi"/>
        </w:rPr>
        <w:t>when compared to</w:t>
      </w:r>
      <w:r w:rsidR="00B2404F">
        <w:rPr>
          <w:rFonts w:cstheme="majorBidi"/>
        </w:rPr>
        <w:t xml:space="preserve"> the </w:t>
      </w:r>
      <w:r w:rsidR="00BD0602">
        <w:rPr>
          <w:rFonts w:cstheme="majorBidi"/>
        </w:rPr>
        <w:t>p</w:t>
      </w:r>
      <w:r w:rsidR="00B2404F">
        <w:rPr>
          <w:rFonts w:cstheme="majorBidi"/>
        </w:rPr>
        <w:t>rasugrel</w:t>
      </w:r>
      <w:r w:rsidR="00CF52BF">
        <w:rPr>
          <w:rFonts w:cstheme="majorBidi"/>
        </w:rPr>
        <w:t xml:space="preserve">. </w:t>
      </w:r>
      <w:r w:rsidR="00BD0602">
        <w:rPr>
          <w:rFonts w:cstheme="majorBidi"/>
        </w:rPr>
        <w:t>For the outcome of</w:t>
      </w:r>
      <w:r w:rsidR="00CF52BF">
        <w:rPr>
          <w:rFonts w:cstheme="majorBidi"/>
        </w:rPr>
        <w:t xml:space="preserve"> FFR</w:t>
      </w:r>
      <w:r w:rsidR="00BD0602">
        <w:rPr>
          <w:rFonts w:cstheme="majorBidi"/>
        </w:rPr>
        <w:t>,</w:t>
      </w:r>
      <w:r w:rsidR="00CF52BF">
        <w:rPr>
          <w:rFonts w:cstheme="majorBidi"/>
        </w:rPr>
        <w:t xml:space="preserve"> there was no significant difference between </w:t>
      </w:r>
      <w:r w:rsidR="00BD0602">
        <w:rPr>
          <w:rFonts w:cstheme="majorBidi"/>
        </w:rPr>
        <w:t>t</w:t>
      </w:r>
      <w:r w:rsidR="00CF52BF">
        <w:rPr>
          <w:rFonts w:cstheme="majorBidi"/>
        </w:rPr>
        <w:t xml:space="preserve">icagrelor and either </w:t>
      </w:r>
      <w:r w:rsidR="00BD0602">
        <w:rPr>
          <w:rFonts w:cstheme="majorBidi"/>
        </w:rPr>
        <w:t>c</w:t>
      </w:r>
      <w:r w:rsidR="00CF52BF">
        <w:rPr>
          <w:rFonts w:cstheme="majorBidi"/>
        </w:rPr>
        <w:t xml:space="preserve">lopidogrel or </w:t>
      </w:r>
      <w:r w:rsidR="00BD0602">
        <w:rPr>
          <w:rFonts w:cstheme="majorBidi"/>
        </w:rPr>
        <w:t>p</w:t>
      </w:r>
      <w:r w:rsidR="00CF52BF">
        <w:rPr>
          <w:rFonts w:cstheme="majorBidi"/>
        </w:rPr>
        <w:t>rasugrel.</w:t>
      </w:r>
    </w:p>
    <w:p w14:paraId="436BE7C5" w14:textId="77777777" w:rsidR="00CF52BF" w:rsidRPr="00CF52BF" w:rsidRDefault="00CF52BF" w:rsidP="00E34845">
      <w:pPr>
        <w:spacing w:line="276" w:lineRule="auto"/>
        <w:jc w:val="both"/>
        <w:rPr>
          <w:rFonts w:cstheme="majorBidi"/>
        </w:rPr>
      </w:pPr>
    </w:p>
    <w:p w14:paraId="0C8B40E8" w14:textId="006D4B94" w:rsidR="0048157A" w:rsidRPr="00916CFC" w:rsidRDefault="00E34845" w:rsidP="00E34845">
      <w:pPr>
        <w:spacing w:line="276" w:lineRule="auto"/>
        <w:jc w:val="both"/>
        <w:rPr>
          <w:rFonts w:cstheme="majorBidi"/>
        </w:rPr>
      </w:pPr>
      <w:r w:rsidRPr="00916CFC">
        <w:rPr>
          <w:rFonts w:cstheme="majorBidi"/>
          <w:b/>
          <w:bCs/>
          <w:color w:val="000000"/>
        </w:rPr>
        <w:t>Conclusion:</w:t>
      </w:r>
      <w:r w:rsidRPr="00916CFC">
        <w:rPr>
          <w:rFonts w:cstheme="majorBidi"/>
          <w:color w:val="000000"/>
        </w:rPr>
        <w:t> </w:t>
      </w:r>
      <w:r w:rsidR="00BD0602">
        <w:rPr>
          <w:rFonts w:cstheme="majorBidi"/>
          <w:color w:val="000000"/>
        </w:rPr>
        <w:t xml:space="preserve">In this meta-analysis of small number of randomized trials, there was no difference noted in the coronary physiologic parameters in patients receiving ticagrelor vs clopidogrel or prasugrel. </w:t>
      </w:r>
      <w:r w:rsidR="0048157A" w:rsidRPr="00916CFC">
        <w:rPr>
          <w:rFonts w:cstheme="majorBidi"/>
        </w:rPr>
        <w:t>The data suggest</w:t>
      </w:r>
      <w:r w:rsidR="00BD0602">
        <w:rPr>
          <w:rFonts w:cstheme="majorBidi"/>
        </w:rPr>
        <w:t>s</w:t>
      </w:r>
      <w:r w:rsidR="0048157A" w:rsidRPr="00916CFC">
        <w:rPr>
          <w:rFonts w:cstheme="majorBidi"/>
        </w:rPr>
        <w:t xml:space="preserve"> that </w:t>
      </w:r>
      <w:r w:rsidR="00436CB1" w:rsidRPr="00916CFC">
        <w:rPr>
          <w:rFonts w:cstheme="majorBidi"/>
        </w:rPr>
        <w:t xml:space="preserve">the </w:t>
      </w:r>
      <w:r w:rsidR="00BD0602">
        <w:rPr>
          <w:rFonts w:cstheme="majorBidi"/>
        </w:rPr>
        <w:t>t</w:t>
      </w:r>
      <w:r w:rsidR="009060F7" w:rsidRPr="00916CFC">
        <w:rPr>
          <w:rFonts w:cstheme="majorBidi"/>
        </w:rPr>
        <w:t>icagrelor</w:t>
      </w:r>
      <w:r w:rsidR="00436CB1" w:rsidRPr="00916CFC">
        <w:rPr>
          <w:rFonts w:cstheme="majorBidi"/>
        </w:rPr>
        <w:t xml:space="preserve"> compare</w:t>
      </w:r>
      <w:r w:rsidR="00BD0602">
        <w:rPr>
          <w:rFonts w:cstheme="majorBidi"/>
        </w:rPr>
        <w:t>d</w:t>
      </w:r>
      <w:r w:rsidR="00436CB1" w:rsidRPr="00916CFC">
        <w:rPr>
          <w:rFonts w:cstheme="majorBidi"/>
        </w:rPr>
        <w:t xml:space="preserve"> to </w:t>
      </w:r>
      <w:r w:rsidR="00BD0602">
        <w:rPr>
          <w:rFonts w:cstheme="majorBidi"/>
        </w:rPr>
        <w:t>c</w:t>
      </w:r>
      <w:r w:rsidR="009060F7" w:rsidRPr="00916CFC">
        <w:rPr>
          <w:rFonts w:cstheme="majorBidi"/>
        </w:rPr>
        <w:t>lopidogrel</w:t>
      </w:r>
      <w:r w:rsidR="00436CB1" w:rsidRPr="00916CFC">
        <w:rPr>
          <w:rFonts w:cstheme="majorBidi"/>
        </w:rPr>
        <w:t xml:space="preserve"> </w:t>
      </w:r>
      <w:r w:rsidR="009060F7" w:rsidRPr="00916CFC">
        <w:rPr>
          <w:rFonts w:cstheme="majorBidi"/>
        </w:rPr>
        <w:t xml:space="preserve">showed a signal of </w:t>
      </w:r>
      <w:r w:rsidR="009060F7" w:rsidRPr="00916CFC">
        <w:rPr>
          <w:rFonts w:cstheme="majorBidi"/>
        </w:rPr>
        <w:lastRenderedPageBreak/>
        <w:t>superiority</w:t>
      </w:r>
      <w:r w:rsidR="00B2404F">
        <w:rPr>
          <w:rFonts w:cstheme="majorBidi"/>
        </w:rPr>
        <w:t xml:space="preserve"> in reducing microvascular injury</w:t>
      </w:r>
      <w:r w:rsidR="009060F7" w:rsidRPr="00916CFC">
        <w:rPr>
          <w:rFonts w:cstheme="majorBidi"/>
        </w:rPr>
        <w:t xml:space="preserve">, while ticagrelor compared to prasugrel had no difference. More data </w:t>
      </w:r>
      <w:r w:rsidR="00BD0602">
        <w:rPr>
          <w:rFonts w:cstheme="majorBidi"/>
        </w:rPr>
        <w:t xml:space="preserve">from larger randomized trials is needed to evaluate if one P1Y12 inhibitor is better than others in improving microvascular dysfunction. </w:t>
      </w:r>
      <w:r w:rsidR="009060F7" w:rsidRPr="00916CFC">
        <w:rPr>
          <w:rFonts w:cstheme="majorBidi"/>
        </w:rPr>
        <w:t xml:space="preserve"> </w:t>
      </w:r>
      <w:r w:rsidR="00436CB1" w:rsidRPr="00916CFC">
        <w:rPr>
          <w:rFonts w:cstheme="majorBidi"/>
        </w:rPr>
        <w:t xml:space="preserve"> </w:t>
      </w:r>
    </w:p>
    <w:p w14:paraId="05B378D3" w14:textId="78CD2851" w:rsidR="00E34845" w:rsidRPr="00916CFC" w:rsidRDefault="00E34845" w:rsidP="00E34845">
      <w:pPr>
        <w:spacing w:line="276" w:lineRule="auto"/>
        <w:jc w:val="both"/>
        <w:rPr>
          <w:rFonts w:cstheme="majorBidi"/>
        </w:rPr>
      </w:pPr>
    </w:p>
    <w:p w14:paraId="7190978B" w14:textId="77777777" w:rsidR="00E34845" w:rsidRPr="00916CFC" w:rsidRDefault="00E34845" w:rsidP="00E34845">
      <w:pPr>
        <w:spacing w:line="276" w:lineRule="auto"/>
        <w:jc w:val="both"/>
        <w:rPr>
          <w:rFonts w:cstheme="majorBidi"/>
        </w:rPr>
      </w:pPr>
    </w:p>
    <w:p w14:paraId="4BF05CD9" w14:textId="1CA02A7B" w:rsidR="00E34845" w:rsidRPr="00916CFC" w:rsidRDefault="00E34845" w:rsidP="00E34845">
      <w:pPr>
        <w:spacing w:line="276" w:lineRule="auto"/>
        <w:jc w:val="both"/>
        <w:rPr>
          <w:rFonts w:cstheme="majorBidi"/>
        </w:rPr>
      </w:pPr>
      <w:r w:rsidRPr="00916CFC">
        <w:rPr>
          <w:rFonts w:cstheme="majorBidi"/>
          <w:b/>
          <w:bCs/>
        </w:rPr>
        <w:t>Key Words</w:t>
      </w:r>
      <w:r w:rsidRPr="00916CFC">
        <w:rPr>
          <w:rFonts w:cstheme="majorBidi"/>
        </w:rPr>
        <w:t xml:space="preserve">: </w:t>
      </w:r>
      <w:r w:rsidR="009060F7" w:rsidRPr="00916CFC">
        <w:rPr>
          <w:rFonts w:cstheme="majorBidi"/>
        </w:rPr>
        <w:t>Microvascular dysfunction</w:t>
      </w:r>
      <w:r w:rsidRPr="00916CFC">
        <w:rPr>
          <w:rFonts w:cstheme="majorBidi"/>
        </w:rPr>
        <w:t xml:space="preserve">, </w:t>
      </w:r>
      <w:r w:rsidR="009060F7" w:rsidRPr="00916CFC">
        <w:rPr>
          <w:rFonts w:cstheme="majorBidi"/>
        </w:rPr>
        <w:t>IMR</w:t>
      </w:r>
      <w:r w:rsidRPr="00916CFC">
        <w:rPr>
          <w:rFonts w:cstheme="majorBidi"/>
        </w:rPr>
        <w:t xml:space="preserve">, </w:t>
      </w:r>
      <w:r w:rsidR="009060F7" w:rsidRPr="00916CFC">
        <w:rPr>
          <w:rFonts w:cstheme="majorBidi"/>
        </w:rPr>
        <w:t>FFR</w:t>
      </w:r>
      <w:r w:rsidRPr="00916CFC">
        <w:rPr>
          <w:rFonts w:cstheme="majorBidi"/>
        </w:rPr>
        <w:t xml:space="preserve">, </w:t>
      </w:r>
      <w:r w:rsidR="009060F7" w:rsidRPr="00916CFC">
        <w:rPr>
          <w:rFonts w:cstheme="majorBidi"/>
        </w:rPr>
        <w:t>CFR, P2Y12</w:t>
      </w:r>
    </w:p>
    <w:p w14:paraId="78568943" w14:textId="3F98FF95" w:rsidR="00F22A73" w:rsidRPr="00916CFC" w:rsidRDefault="00F22A73" w:rsidP="00F22A73">
      <w:pPr>
        <w:rPr>
          <w:b/>
          <w:bCs/>
        </w:rPr>
      </w:pPr>
      <w:r w:rsidRPr="00916CFC">
        <w:rPr>
          <w:b/>
          <w:bCs/>
        </w:rPr>
        <w:t xml:space="preserve">Figure: </w:t>
      </w:r>
      <w:r w:rsidRPr="00916CFC">
        <w:t xml:space="preserve">Forest plot </w:t>
      </w:r>
      <w:r w:rsidR="009060F7" w:rsidRPr="00916CFC">
        <w:t>with subgroup analysis.</w:t>
      </w:r>
    </w:p>
    <w:p w14:paraId="1FFAAB1E" w14:textId="0C0D94ED" w:rsidR="00916CFC" w:rsidRDefault="003D1419">
      <w:r w:rsidRPr="003D1419">
        <w:t>("</w:t>
      </w:r>
      <w:r>
        <w:rPr>
          <w:rFonts w:cstheme="majorBidi"/>
        </w:rPr>
        <w:t>Ticagrelor</w:t>
      </w:r>
      <w:r w:rsidRPr="003D1419">
        <w:t xml:space="preserve"> " OR "clopidogrel" OR "prasugrel") AND ("microvascular dysfunction" or "dysfunction")</w:t>
      </w:r>
    </w:p>
    <w:p w14:paraId="3ED1905F" w14:textId="68716BD4" w:rsidR="00916CFC" w:rsidRDefault="00CF52BF">
      <w:r>
        <w:t xml:space="preserve">  </w:t>
      </w:r>
    </w:p>
    <w:p w14:paraId="42242B76" w14:textId="00A4222A" w:rsidR="00916CFC" w:rsidRDefault="00916CFC"/>
    <w:p w14:paraId="33BF65FF" w14:textId="77777777" w:rsidR="00916CFC" w:rsidRPr="00916CFC" w:rsidRDefault="00916CFC"/>
    <w:p w14:paraId="765050B5" w14:textId="3D7C866A" w:rsidR="0048157A" w:rsidRPr="00916CFC" w:rsidRDefault="00CF52BF">
      <w:bookmarkStart w:id="0" w:name="_GoBack"/>
      <w:r>
        <w:rPr>
          <w:noProof/>
        </w:rPr>
        <w:lastRenderedPageBreak/>
        <w:drawing>
          <wp:inline distT="0" distB="0" distL="0" distR="0" wp14:anchorId="6D3D60E7" wp14:editId="27415DCB">
            <wp:extent cx="53867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7-25 at 9.53.5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157A" w:rsidRPr="00916CFC" w:rsidSect="007C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7A"/>
    <w:rsid w:val="00020D3E"/>
    <w:rsid w:val="00025C53"/>
    <w:rsid w:val="000458AA"/>
    <w:rsid w:val="00051DC0"/>
    <w:rsid w:val="00065B71"/>
    <w:rsid w:val="000914D3"/>
    <w:rsid w:val="000A1890"/>
    <w:rsid w:val="000C7165"/>
    <w:rsid w:val="000F3639"/>
    <w:rsid w:val="000F4322"/>
    <w:rsid w:val="001018FC"/>
    <w:rsid w:val="00122AC5"/>
    <w:rsid w:val="00151BB1"/>
    <w:rsid w:val="00185ABC"/>
    <w:rsid w:val="001B5C77"/>
    <w:rsid w:val="001E4FB0"/>
    <w:rsid w:val="0021296A"/>
    <w:rsid w:val="00217FEB"/>
    <w:rsid w:val="002216D8"/>
    <w:rsid w:val="00260D06"/>
    <w:rsid w:val="002648AD"/>
    <w:rsid w:val="00276E9C"/>
    <w:rsid w:val="00277A53"/>
    <w:rsid w:val="0028354D"/>
    <w:rsid w:val="002A759C"/>
    <w:rsid w:val="002B4A0D"/>
    <w:rsid w:val="00301B5A"/>
    <w:rsid w:val="003168C0"/>
    <w:rsid w:val="00392813"/>
    <w:rsid w:val="003936D1"/>
    <w:rsid w:val="00397B57"/>
    <w:rsid w:val="003D1419"/>
    <w:rsid w:val="003F3A45"/>
    <w:rsid w:val="00427ABF"/>
    <w:rsid w:val="00436CB1"/>
    <w:rsid w:val="00437539"/>
    <w:rsid w:val="00460072"/>
    <w:rsid w:val="0048157A"/>
    <w:rsid w:val="00491A6E"/>
    <w:rsid w:val="004A478E"/>
    <w:rsid w:val="004C13DF"/>
    <w:rsid w:val="004C3759"/>
    <w:rsid w:val="00542314"/>
    <w:rsid w:val="00591F10"/>
    <w:rsid w:val="005B1166"/>
    <w:rsid w:val="005C304D"/>
    <w:rsid w:val="005E25E4"/>
    <w:rsid w:val="00605389"/>
    <w:rsid w:val="0061452B"/>
    <w:rsid w:val="006329E4"/>
    <w:rsid w:val="00646E5C"/>
    <w:rsid w:val="00664151"/>
    <w:rsid w:val="00682A56"/>
    <w:rsid w:val="006863FA"/>
    <w:rsid w:val="006B0753"/>
    <w:rsid w:val="006E0296"/>
    <w:rsid w:val="00713205"/>
    <w:rsid w:val="00717FDD"/>
    <w:rsid w:val="007206EF"/>
    <w:rsid w:val="00735325"/>
    <w:rsid w:val="007469E9"/>
    <w:rsid w:val="007548BA"/>
    <w:rsid w:val="007B60F3"/>
    <w:rsid w:val="007C4847"/>
    <w:rsid w:val="007F7AA9"/>
    <w:rsid w:val="008026C3"/>
    <w:rsid w:val="00822786"/>
    <w:rsid w:val="0082530F"/>
    <w:rsid w:val="00833F33"/>
    <w:rsid w:val="00834CC3"/>
    <w:rsid w:val="008C1D33"/>
    <w:rsid w:val="009060F7"/>
    <w:rsid w:val="00916CFC"/>
    <w:rsid w:val="00917B85"/>
    <w:rsid w:val="00965F03"/>
    <w:rsid w:val="009847CD"/>
    <w:rsid w:val="009960A0"/>
    <w:rsid w:val="009A527F"/>
    <w:rsid w:val="009B3303"/>
    <w:rsid w:val="009B4A9C"/>
    <w:rsid w:val="009B4E53"/>
    <w:rsid w:val="009F4EF5"/>
    <w:rsid w:val="00A56CFC"/>
    <w:rsid w:val="00A70F28"/>
    <w:rsid w:val="00A75549"/>
    <w:rsid w:val="00A9314B"/>
    <w:rsid w:val="00AA567F"/>
    <w:rsid w:val="00AB10D2"/>
    <w:rsid w:val="00B03605"/>
    <w:rsid w:val="00B0590E"/>
    <w:rsid w:val="00B12AA4"/>
    <w:rsid w:val="00B2404F"/>
    <w:rsid w:val="00B466DF"/>
    <w:rsid w:val="00B64877"/>
    <w:rsid w:val="00B73680"/>
    <w:rsid w:val="00B93FFE"/>
    <w:rsid w:val="00BA010E"/>
    <w:rsid w:val="00BB5480"/>
    <w:rsid w:val="00BD0602"/>
    <w:rsid w:val="00BD4041"/>
    <w:rsid w:val="00BD62FE"/>
    <w:rsid w:val="00BE60C5"/>
    <w:rsid w:val="00BF0832"/>
    <w:rsid w:val="00C01363"/>
    <w:rsid w:val="00C22EEA"/>
    <w:rsid w:val="00C33230"/>
    <w:rsid w:val="00C44513"/>
    <w:rsid w:val="00C76A43"/>
    <w:rsid w:val="00C974B8"/>
    <w:rsid w:val="00CB7F20"/>
    <w:rsid w:val="00CD0B6B"/>
    <w:rsid w:val="00CD20D8"/>
    <w:rsid w:val="00CF52BF"/>
    <w:rsid w:val="00D42FFA"/>
    <w:rsid w:val="00D95A02"/>
    <w:rsid w:val="00DB5F6E"/>
    <w:rsid w:val="00DC5DD5"/>
    <w:rsid w:val="00DD5643"/>
    <w:rsid w:val="00E04C85"/>
    <w:rsid w:val="00E33E2C"/>
    <w:rsid w:val="00E34845"/>
    <w:rsid w:val="00E35CD4"/>
    <w:rsid w:val="00E4788E"/>
    <w:rsid w:val="00E86275"/>
    <w:rsid w:val="00EB7B8C"/>
    <w:rsid w:val="00EC0F48"/>
    <w:rsid w:val="00EE5FBD"/>
    <w:rsid w:val="00F05987"/>
    <w:rsid w:val="00F22A73"/>
    <w:rsid w:val="00F2766A"/>
    <w:rsid w:val="00F5132F"/>
    <w:rsid w:val="00F71C56"/>
    <w:rsid w:val="00F7737D"/>
    <w:rsid w:val="00F946B6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800E"/>
  <w15:chartTrackingRefBased/>
  <w15:docId w15:val="{C86E7CFD-EF33-1440-93F1-C77855A3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3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37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428</Words>
  <Characters>2527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QAIS RAD</dc:creator>
  <cp:keywords/>
  <dc:description/>
  <cp:lastModifiedBy>QAIS RAD</cp:lastModifiedBy>
  <cp:revision>8</cp:revision>
  <dcterms:created xsi:type="dcterms:W3CDTF">2021-07-26T16:47:00Z</dcterms:created>
  <dcterms:modified xsi:type="dcterms:W3CDTF">2021-07-27T01:43:00Z</dcterms:modified>
</cp:coreProperties>
</file>